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center"/>
        <w:rPr>
          <w:rFonts w:ascii="方正小标宋_GBK" w:eastAsia="方正小标宋_GBK"/>
          <w:sz w:val="44"/>
          <w:szCs w:val="44"/>
        </w:rPr>
      </w:pPr>
      <w:r>
        <w:rPr>
          <w:rFonts w:hint="eastAsia" w:ascii="方正小标宋_GBK" w:eastAsia="方正小标宋_GBK"/>
          <w:sz w:val="44"/>
          <w:szCs w:val="44"/>
        </w:rPr>
        <w:t>第一批涉电力领域失信联合惩戒对象名单</w:t>
      </w:r>
    </w:p>
    <w:p>
      <w:pPr>
        <w:ind w:firstLine="600"/>
        <w:rPr>
          <w:rFonts w:ascii="仿宋_GB2312" w:eastAsia="仿宋_GB2312"/>
        </w:rPr>
      </w:pPr>
    </w:p>
    <w:p>
      <w:pPr>
        <w:ind w:firstLine="600"/>
        <w:rPr>
          <w:rFonts w:ascii="黑体" w:hAnsi="黑体" w:eastAsia="黑体"/>
        </w:rPr>
      </w:pPr>
      <w:r>
        <w:rPr>
          <w:rFonts w:hint="eastAsia" w:ascii="黑体" w:hAnsi="黑体" w:eastAsia="黑体"/>
        </w:rPr>
        <w:t>一、关联“黑名单”</w:t>
      </w:r>
    </w:p>
    <w:p>
      <w:pPr>
        <w:spacing w:after="204" w:afterLines="50"/>
        <w:ind w:firstLine="600"/>
        <w:rPr>
          <w:rFonts w:ascii="仿宋_GB2312" w:eastAsia="仿宋_GB2312"/>
        </w:rPr>
      </w:pPr>
      <w:r>
        <w:rPr>
          <w:rFonts w:hint="eastAsia" w:ascii="仿宋_GB2312" w:eastAsia="仿宋_GB2312"/>
        </w:rPr>
        <w:t>关联“黑名单”为在其他领域存在严重失信行为，被相关政府部门列入失信联合惩戒对象名单的涉电力领域企业。</w:t>
      </w:r>
    </w:p>
    <w:tbl>
      <w:tblPr>
        <w:tblStyle w:val="8"/>
        <w:tblW w:w="9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3268"/>
        <w:gridCol w:w="1277"/>
        <w:gridCol w:w="1133"/>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
                <w:bCs/>
                <w:spacing w:val="-6"/>
                <w:kern w:val="0"/>
                <w:sz w:val="21"/>
                <w:szCs w:val="21"/>
              </w:rPr>
            </w:pPr>
            <w:r>
              <w:rPr>
                <w:rFonts w:hint="eastAsia" w:ascii="仿宋_GB2312" w:hAnsi="宋体" w:eastAsia="仿宋_GB2312" w:cs="宋体"/>
                <w:b/>
                <w:bCs/>
                <w:spacing w:val="-6"/>
                <w:kern w:val="0"/>
                <w:sz w:val="21"/>
                <w:szCs w:val="21"/>
              </w:rPr>
              <w:t>序号</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
                <w:bCs/>
                <w:spacing w:val="-6"/>
                <w:kern w:val="0"/>
                <w:sz w:val="21"/>
                <w:szCs w:val="21"/>
              </w:rPr>
            </w:pPr>
            <w:r>
              <w:rPr>
                <w:rFonts w:hint="eastAsia" w:ascii="仿宋_GB2312" w:hAnsi="宋体" w:eastAsia="仿宋_GB2312" w:cs="宋体"/>
                <w:b/>
                <w:bCs/>
                <w:spacing w:val="-6"/>
                <w:kern w:val="0"/>
                <w:sz w:val="21"/>
                <w:szCs w:val="21"/>
              </w:rPr>
              <w:t>省份</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
                <w:bCs/>
                <w:spacing w:val="-6"/>
                <w:kern w:val="0"/>
                <w:sz w:val="21"/>
                <w:szCs w:val="21"/>
              </w:rPr>
            </w:pPr>
            <w:r>
              <w:rPr>
                <w:rFonts w:hint="eastAsia" w:ascii="仿宋_GB2312" w:hAnsi="宋体" w:eastAsia="仿宋_GB2312" w:cs="宋体"/>
                <w:b/>
                <w:bCs/>
                <w:spacing w:val="-6"/>
                <w:kern w:val="0"/>
                <w:sz w:val="21"/>
                <w:szCs w:val="21"/>
              </w:rPr>
              <w:t>企业名称</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
                <w:bCs/>
                <w:spacing w:val="-6"/>
                <w:kern w:val="0"/>
                <w:sz w:val="21"/>
                <w:szCs w:val="21"/>
              </w:rPr>
            </w:pPr>
            <w:r>
              <w:rPr>
                <w:rFonts w:hint="eastAsia" w:ascii="仿宋_GB2312" w:hAnsi="宋体" w:eastAsia="仿宋_GB2312" w:cs="宋体"/>
                <w:b/>
                <w:bCs/>
                <w:spacing w:val="-6"/>
                <w:kern w:val="0"/>
                <w:sz w:val="21"/>
                <w:szCs w:val="21"/>
              </w:rPr>
              <w:t>证件号码</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
                <w:bCs/>
                <w:spacing w:val="-6"/>
                <w:kern w:val="0"/>
                <w:sz w:val="21"/>
                <w:szCs w:val="21"/>
              </w:rPr>
            </w:pPr>
            <w:r>
              <w:rPr>
                <w:rFonts w:hint="eastAsia" w:ascii="仿宋_GB2312" w:hAnsi="宋体" w:eastAsia="仿宋_GB2312" w:cs="宋体"/>
                <w:b/>
                <w:bCs/>
                <w:spacing w:val="-6"/>
                <w:kern w:val="0"/>
                <w:sz w:val="21"/>
                <w:szCs w:val="21"/>
              </w:rPr>
              <w:t>被列入名单类型</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
                <w:bCs/>
                <w:spacing w:val="-6"/>
                <w:kern w:val="0"/>
                <w:sz w:val="21"/>
                <w:szCs w:val="21"/>
              </w:rPr>
            </w:pPr>
            <w:r>
              <w:rPr>
                <w:rFonts w:hint="eastAsia" w:ascii="仿宋_GB2312" w:hAnsi="宋体" w:eastAsia="仿宋_GB2312" w:cs="宋体"/>
                <w:b/>
                <w:bCs/>
                <w:spacing w:val="-6"/>
                <w:kern w:val="0"/>
                <w:sz w:val="21"/>
                <w:szCs w:val="21"/>
              </w:rPr>
              <w:t>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天津</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天津滨海迎奥电力工程有限公司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67149495-3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(2015)滨港执字第01491号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河北利泽生物质发电有限公司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57132288-X</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(2016)冀0929执603号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衡水中科信能源有限公司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07486926-X</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（2017）冀1102执1369号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秦皇岛郴电龙汇电力能源有限责任公司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59826047-1</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(2015)青法执字第01023号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曲周县邯东新能源有限公司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68573534-0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（2017）冀0102执82号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永年县曙明电力有限公司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78701399-8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(2016)鲁0203执2190号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遵化新利能源开发有限公司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60106733-1</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(2016)苏1204执2766号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山西</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浑源锦华能源科技有限公司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31719554-7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(2018)晋0225执35号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山西</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山西国益生物发电有限公司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68626473-9</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(2014)蒲执字第00029号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10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山西</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山西武乡鑫兴电力开发有限公司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713667016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(2014)长执字第00050号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11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山西</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襄汾县巨龙自备电力有限公司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77515382-X</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(2016)晋10执150号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12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辽宁</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凤城市龙凤电站灌区管理处</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701608801</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(2016)辽0682执193号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13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辽宁</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辽宁高科能源集团有限公司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74646484-8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（2017）辽0106执450号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江苏</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江苏国阳电力工程有限公司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09416228-8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(2016)苏0311执447号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江苏</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江苏绿泉新能源科技有限公司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05663616-3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(2015)镇经执字第01352号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江苏</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江苏紫金万成自动化控制设备有限公司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704043754</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(2016)沪0112执02584号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江苏</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南京苏耐格风力发电设备厂</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78067474-2</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(2015)江宁江执字第00094号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江苏</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如皋市江东太阳能科技有限公司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56683924-3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(2017)苏0682执5775号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19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江苏</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徐州龙固坑口矸石发电有限公司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758989393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(2016)苏1283执1823号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20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江苏</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徐州热电有限公司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136380532</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(2013)徐执字第00377号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2</w:t>
            </w:r>
            <w:r>
              <w:rPr>
                <w:rFonts w:hint="eastAsia" w:ascii="仿宋_GB2312" w:hAnsi="宋体" w:eastAsia="仿宋_GB2312" w:cs="宋体"/>
                <w:bCs/>
                <w:spacing w:val="-6"/>
                <w:kern w:val="0"/>
                <w:sz w:val="21"/>
                <w:szCs w:val="21"/>
                <w:lang w:val="en-US" w:eastAsia="zh-CN"/>
              </w:rPr>
              <w:t>1</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安徽</w:t>
            </w:r>
          </w:p>
        </w:tc>
        <w:tc>
          <w:tcPr>
            <w:tcW w:w="3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安徽华亿太阳能电力有限公司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32803188-X</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(2016)苏0582执3361号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2</w:t>
            </w:r>
            <w:r>
              <w:rPr>
                <w:rFonts w:hint="eastAsia" w:ascii="仿宋_GB2312" w:hAnsi="宋体" w:eastAsia="仿宋_GB2312" w:cs="宋体"/>
                <w:bCs/>
                <w:spacing w:val="-6"/>
                <w:kern w:val="0"/>
                <w:sz w:val="21"/>
                <w:szCs w:val="21"/>
                <w:lang w:val="en-US" w:eastAsia="zh-CN"/>
              </w:rPr>
              <w:t>2</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安徽</w:t>
            </w:r>
          </w:p>
        </w:tc>
        <w:tc>
          <w:tcPr>
            <w:tcW w:w="3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黄山市歙县旭翔水电开发有限公司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756820797</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(2011)杭淳执民字第00851号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2</w:t>
            </w:r>
            <w:r>
              <w:rPr>
                <w:rFonts w:hint="eastAsia" w:ascii="仿宋_GB2312" w:hAnsi="宋体" w:eastAsia="仿宋_GB2312" w:cs="宋体"/>
                <w:bCs/>
                <w:spacing w:val="-6"/>
                <w:kern w:val="0"/>
                <w:sz w:val="21"/>
                <w:szCs w:val="21"/>
                <w:lang w:val="en-US" w:eastAsia="zh-CN"/>
              </w:rPr>
              <w:t>3</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安徽</w:t>
            </w:r>
          </w:p>
        </w:tc>
        <w:tc>
          <w:tcPr>
            <w:tcW w:w="3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石台县青山河流域水电有限公司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77497257-5</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(2014)丽莲执民字第01805号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2</w:t>
            </w:r>
            <w:r>
              <w:rPr>
                <w:rFonts w:hint="eastAsia" w:ascii="仿宋_GB2312" w:hAnsi="宋体" w:eastAsia="仿宋_GB2312" w:cs="宋体"/>
                <w:bCs/>
                <w:spacing w:val="-6"/>
                <w:kern w:val="0"/>
                <w:sz w:val="21"/>
                <w:szCs w:val="21"/>
                <w:lang w:val="en-US" w:eastAsia="zh-CN"/>
              </w:rPr>
              <w:t>4</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安徽</w:t>
            </w:r>
          </w:p>
        </w:tc>
        <w:tc>
          <w:tcPr>
            <w:tcW w:w="3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涡阳通用生物质能源有限公司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577078742</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(2017)川0311执952号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2</w:t>
            </w:r>
            <w:r>
              <w:rPr>
                <w:rFonts w:hint="eastAsia" w:ascii="仿宋_GB2312" w:hAnsi="宋体" w:eastAsia="仿宋_GB2312" w:cs="宋体"/>
                <w:bCs/>
                <w:spacing w:val="-6"/>
                <w:kern w:val="0"/>
                <w:sz w:val="21"/>
                <w:szCs w:val="21"/>
                <w:lang w:val="en-US" w:eastAsia="zh-CN"/>
              </w:rPr>
              <w:t>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河南渑池中迈铝电实业有限公司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174841416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(2014)渑法执字第00252号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2</w:t>
            </w:r>
            <w:r>
              <w:rPr>
                <w:rFonts w:hint="eastAsia" w:ascii="仿宋_GB2312" w:hAnsi="宋体" w:eastAsia="仿宋_GB2312" w:cs="宋体"/>
                <w:bCs/>
                <w:spacing w:val="-6"/>
                <w:kern w:val="0"/>
                <w:sz w:val="21"/>
                <w:szCs w:val="21"/>
                <w:lang w:val="en-US" w:eastAsia="zh-CN"/>
              </w:rPr>
              <w:t>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河南省亿宁太阳能科技研发有限公司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79820760-8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(2015)辉法执字第01373号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2</w:t>
            </w:r>
            <w:r>
              <w:rPr>
                <w:rFonts w:hint="eastAsia" w:ascii="仿宋_GB2312" w:hAnsi="宋体" w:eastAsia="仿宋_GB2312" w:cs="宋体"/>
                <w:bCs/>
                <w:spacing w:val="-6"/>
                <w:kern w:val="0"/>
                <w:sz w:val="21"/>
                <w:szCs w:val="21"/>
                <w:lang w:val="en-US" w:eastAsia="zh-CN"/>
              </w:rPr>
              <w:t>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河南兴豫水利资源开发有限公司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77942991-8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(2017)豫0326执恢3号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28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河南亚能天元电力有限公司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61441094-4</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(2006)三法执字第00034号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29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洛宁县惠丰大铁沟水电有限公司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317300191</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(2016)豫0328执134号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30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洛阳忠诚集团有限公司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706547163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(2016)豫03执127号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3</w:t>
            </w:r>
            <w:r>
              <w:rPr>
                <w:rFonts w:hint="eastAsia" w:ascii="仿宋_GB2312" w:hAnsi="宋体" w:eastAsia="仿宋_GB2312" w:cs="宋体"/>
                <w:bCs/>
                <w:spacing w:val="-6"/>
                <w:kern w:val="0"/>
                <w:sz w:val="21"/>
                <w:szCs w:val="21"/>
                <w:lang w:val="en-US" w:eastAsia="zh-CN"/>
              </w:rPr>
              <w:t>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洛阳忠祥新能源科技股份有限公司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69872655-8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(2016)豫0327执460号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3</w:t>
            </w:r>
            <w:r>
              <w:rPr>
                <w:rFonts w:hint="eastAsia" w:ascii="仿宋_GB2312" w:hAnsi="宋体" w:eastAsia="仿宋_GB2312" w:cs="宋体"/>
                <w:bCs/>
                <w:spacing w:val="-6"/>
                <w:kern w:val="0"/>
                <w:sz w:val="21"/>
                <w:szCs w:val="21"/>
                <w:lang w:val="en-US" w:eastAsia="zh-CN"/>
              </w:rPr>
              <w:t>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三门峡惠能热电有限责任公司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74921405-1</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(2017)豫0105执3996号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3</w:t>
            </w:r>
            <w:r>
              <w:rPr>
                <w:rFonts w:hint="eastAsia" w:ascii="仿宋_GB2312" w:hAnsi="宋体" w:eastAsia="仿宋_GB2312" w:cs="宋体"/>
                <w:bCs/>
                <w:spacing w:val="-6"/>
                <w:kern w:val="0"/>
                <w:sz w:val="21"/>
                <w:szCs w:val="21"/>
                <w:lang w:val="en-US" w:eastAsia="zh-CN"/>
              </w:rPr>
              <w:t>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嵩县雪堂寺水电有限公司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716709680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(2015)洛执字第00291号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3</w:t>
            </w:r>
            <w:r>
              <w:rPr>
                <w:rFonts w:hint="eastAsia" w:ascii="仿宋_GB2312" w:hAnsi="宋体" w:eastAsia="仿宋_GB2312" w:cs="宋体"/>
                <w:bCs/>
                <w:spacing w:val="-6"/>
                <w:kern w:val="0"/>
                <w:sz w:val="21"/>
                <w:szCs w:val="21"/>
                <w:lang w:val="en-US" w:eastAsia="zh-CN"/>
              </w:rPr>
              <w:t>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河南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嵩县伊河水电开发有限公司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667237057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(2017)豫0325执22号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3</w:t>
            </w:r>
            <w:r>
              <w:rPr>
                <w:rFonts w:hint="eastAsia" w:ascii="仿宋_GB2312" w:hAnsi="宋体" w:eastAsia="仿宋_GB2312" w:cs="宋体"/>
                <w:bCs/>
                <w:spacing w:val="-6"/>
                <w:kern w:val="0"/>
                <w:sz w:val="21"/>
                <w:szCs w:val="21"/>
                <w:lang w:val="en-US" w:eastAsia="zh-CN"/>
              </w:rPr>
              <w:t>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茶陵县汇源水电开发有限公司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77005913X</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(2015)茶法执字第01083号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3</w:t>
            </w:r>
            <w:r>
              <w:rPr>
                <w:rFonts w:hint="eastAsia" w:ascii="仿宋_GB2312" w:hAnsi="宋体" w:eastAsia="仿宋_GB2312" w:cs="宋体"/>
                <w:bCs/>
                <w:spacing w:val="-6"/>
                <w:kern w:val="0"/>
                <w:sz w:val="21"/>
                <w:szCs w:val="21"/>
                <w:lang w:val="en-US" w:eastAsia="zh-CN"/>
              </w:rPr>
              <w:t>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茶陵县农元大垅水电站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790337686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(2016)湘0224执恢2号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37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湖南西电电力工程建设有限公司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77227473-0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(2016)湘0802执828号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38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湖南湘渝电力投资有限责任公司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78287562-8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(2015)天执字第01250号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39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花垣县神禹水资源开发有限责任公司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77679362-6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(2016)湘0211执1154号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4</w:t>
            </w:r>
            <w:r>
              <w:rPr>
                <w:rFonts w:hint="eastAsia" w:ascii="仿宋_GB2312" w:hAnsi="宋体" w:eastAsia="仿宋_GB2312" w:cs="宋体"/>
                <w:bCs/>
                <w:spacing w:val="-6"/>
                <w:kern w:val="0"/>
                <w:sz w:val="21"/>
                <w:szCs w:val="21"/>
                <w:lang w:val="en-US" w:eastAsia="zh-CN"/>
              </w:rPr>
              <w:t>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嘉禾县金成电力发展有限公司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788049407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(2016)湘1024执376号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4</w:t>
            </w:r>
            <w:r>
              <w:rPr>
                <w:rFonts w:hint="eastAsia" w:ascii="仿宋_GB2312" w:hAnsi="宋体" w:eastAsia="仿宋_GB2312" w:cs="宋体"/>
                <w:bCs/>
                <w:spacing w:val="-6"/>
                <w:kern w:val="0"/>
                <w:sz w:val="21"/>
                <w:szCs w:val="21"/>
                <w:lang w:val="en-US" w:eastAsia="zh-CN"/>
              </w:rPr>
              <w:t>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嘉禾县溪车湾电站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685027707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(2016)湘1024执88号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4</w:t>
            </w:r>
            <w:r>
              <w:rPr>
                <w:rFonts w:hint="eastAsia" w:ascii="仿宋_GB2312" w:hAnsi="宋体" w:eastAsia="仿宋_GB2312" w:cs="宋体"/>
                <w:bCs/>
                <w:spacing w:val="-6"/>
                <w:kern w:val="0"/>
                <w:sz w:val="21"/>
                <w:szCs w:val="21"/>
                <w:lang w:val="en-US" w:eastAsia="zh-CN"/>
              </w:rPr>
              <w:t>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江华瑶族自治县坤昊风力发电有限公司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325633375</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（2017）湘0304执1206号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4</w:t>
            </w:r>
            <w:r>
              <w:rPr>
                <w:rFonts w:hint="eastAsia" w:ascii="仿宋_GB2312" w:hAnsi="宋体" w:eastAsia="仿宋_GB2312" w:cs="宋体"/>
                <w:bCs/>
                <w:spacing w:val="-6"/>
                <w:kern w:val="0"/>
                <w:sz w:val="21"/>
                <w:szCs w:val="21"/>
                <w:lang w:val="en-US" w:eastAsia="zh-CN"/>
              </w:rPr>
              <w:t>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临武县岚桥镇土桥电站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L06153908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(2010)连法执字第00036号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4</w:t>
            </w:r>
            <w:r>
              <w:rPr>
                <w:rFonts w:hint="eastAsia" w:ascii="仿宋_GB2312" w:hAnsi="宋体" w:eastAsia="仿宋_GB2312" w:cs="宋体"/>
                <w:bCs/>
                <w:spacing w:val="-6"/>
                <w:kern w:val="0"/>
                <w:sz w:val="21"/>
                <w:szCs w:val="21"/>
                <w:lang w:val="en-US" w:eastAsia="zh-CN"/>
              </w:rPr>
              <w:t>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双牌县和平水电开发有限公司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770077397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(2016)湘1123执140号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4</w:t>
            </w:r>
            <w:r>
              <w:rPr>
                <w:rFonts w:hint="eastAsia" w:ascii="仿宋_GB2312" w:hAnsi="宋体" w:eastAsia="仿宋_GB2312" w:cs="宋体"/>
                <w:bCs/>
                <w:spacing w:val="-6"/>
                <w:kern w:val="0"/>
                <w:sz w:val="21"/>
                <w:szCs w:val="21"/>
                <w:lang w:val="en-US" w:eastAsia="zh-CN"/>
              </w:rPr>
              <w:t>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双牌县李家电站有限公司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776797977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(2016)湘1123执140号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46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永州侨海投资开发有限公司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76563217-3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(2015)甬镇执民字第00521号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47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永州市钟野水电投资有限公司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666306436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(2016)湘1102执221号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48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湖南</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紫金山水电开发有限公司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770058479</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（2017）湘1123执恢13号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49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重庆</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巫溪县龙溪水电有限责任公司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79585684-8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(2016)渝0234执1323号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50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重庆</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巫溪县兴鹏水电开发有限公司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07569635-6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(2015)巫法民执字第00170号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5</w:t>
            </w:r>
            <w:r>
              <w:rPr>
                <w:rFonts w:hint="eastAsia" w:ascii="仿宋_GB2312" w:hAnsi="宋体" w:eastAsia="仿宋_GB2312" w:cs="宋体"/>
                <w:bCs/>
                <w:spacing w:val="-6"/>
                <w:kern w:val="0"/>
                <w:sz w:val="21"/>
                <w:szCs w:val="21"/>
                <w:lang w:val="en-US" w:eastAsia="zh-CN"/>
              </w:rPr>
              <w:t>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重庆</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重庆市万州区长坪江升发电有限公司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745324499</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(2016)渝0101执2727号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5</w:t>
            </w:r>
            <w:r>
              <w:rPr>
                <w:rFonts w:hint="eastAsia" w:ascii="仿宋_GB2312" w:hAnsi="宋体" w:eastAsia="仿宋_GB2312" w:cs="宋体"/>
                <w:bCs/>
                <w:spacing w:val="-6"/>
                <w:kern w:val="0"/>
                <w:sz w:val="21"/>
                <w:szCs w:val="21"/>
                <w:lang w:val="en-US" w:eastAsia="zh-CN"/>
              </w:rPr>
              <w:t>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安县茅香电站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79582778-0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(2015)安执字第00052号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5</w:t>
            </w:r>
            <w:r>
              <w:rPr>
                <w:rFonts w:hint="eastAsia" w:ascii="仿宋_GB2312" w:hAnsi="宋体" w:eastAsia="仿宋_GB2312" w:cs="宋体"/>
                <w:bCs/>
                <w:spacing w:val="-6"/>
                <w:kern w:val="0"/>
                <w:sz w:val="21"/>
                <w:szCs w:val="21"/>
                <w:lang w:val="en-US" w:eastAsia="zh-CN"/>
              </w:rPr>
              <w:t>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巴塘县大西洋水电开发有限责任公司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91513335MA62G09983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(2017)渝0113执290号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5</w:t>
            </w:r>
            <w:r>
              <w:rPr>
                <w:rFonts w:hint="eastAsia" w:ascii="仿宋_GB2312" w:hAnsi="宋体" w:eastAsia="仿宋_GB2312" w:cs="宋体"/>
                <w:bCs/>
                <w:spacing w:val="-6"/>
                <w:kern w:val="0"/>
                <w:sz w:val="21"/>
                <w:szCs w:val="21"/>
                <w:lang w:val="en-US" w:eastAsia="zh-CN"/>
              </w:rPr>
              <w:t>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宝兴县富康电力有限公司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76726908-0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(2015)乐中执字第01012号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5</w:t>
            </w:r>
            <w:r>
              <w:rPr>
                <w:rFonts w:hint="eastAsia" w:ascii="仿宋_GB2312" w:hAnsi="宋体" w:eastAsia="仿宋_GB2312" w:cs="宋体"/>
                <w:bCs/>
                <w:spacing w:val="-6"/>
                <w:kern w:val="0"/>
                <w:sz w:val="21"/>
                <w:szCs w:val="21"/>
                <w:lang w:val="en-US" w:eastAsia="zh-CN"/>
              </w:rPr>
              <w:t>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宝兴县天宇水电站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66957732-X</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(2017)川1802执610号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56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宝兴县兴星水电有限责任公司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56071795-8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(2015)宝执字第00008号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57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北川羌族自治县桂溪电站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78668959-0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(2017)川0703执1701号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58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成都丰德信科技有限公司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56203648-6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(2017)川0108执1821号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59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成都恒森实业股份有限公司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71305993－4</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(2015)龙泉执字第02042号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60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成都九龙电力股份有限公司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20233054-2</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(2015)成执字第00297号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6</w:t>
            </w:r>
            <w:r>
              <w:rPr>
                <w:rFonts w:hint="eastAsia" w:ascii="仿宋_GB2312" w:hAnsi="宋体" w:eastAsia="仿宋_GB2312" w:cs="宋体"/>
                <w:bCs/>
                <w:spacing w:val="-6"/>
                <w:kern w:val="0"/>
                <w:sz w:val="21"/>
                <w:szCs w:val="21"/>
                <w:lang w:val="en-US" w:eastAsia="zh-CN"/>
              </w:rPr>
              <w:t>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成都三瓦窑热电有限公司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76538617-9</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(2017)川0121执1824号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6</w:t>
            </w:r>
            <w:r>
              <w:rPr>
                <w:rFonts w:hint="eastAsia" w:ascii="仿宋_GB2312" w:hAnsi="宋体" w:eastAsia="仿宋_GB2312" w:cs="宋体"/>
                <w:bCs/>
                <w:spacing w:val="-6"/>
                <w:kern w:val="0"/>
                <w:sz w:val="21"/>
                <w:szCs w:val="21"/>
                <w:lang w:val="en-US" w:eastAsia="zh-CN"/>
              </w:rPr>
              <w:t>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成都市温江区玉石乡玉石天师电站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75597853-3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(2016)川0115执61号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6</w:t>
            </w:r>
            <w:r>
              <w:rPr>
                <w:rFonts w:hint="eastAsia" w:ascii="仿宋_GB2312" w:hAnsi="宋体" w:eastAsia="仿宋_GB2312" w:cs="宋体"/>
                <w:bCs/>
                <w:spacing w:val="-6"/>
                <w:kern w:val="0"/>
                <w:sz w:val="21"/>
                <w:szCs w:val="21"/>
                <w:lang w:val="en-US" w:eastAsia="zh-CN"/>
              </w:rPr>
              <w:t>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峨边彬峰电力有限责任公司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55102258-0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(2017)川1102执337号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6</w:t>
            </w:r>
            <w:r>
              <w:rPr>
                <w:rFonts w:hint="eastAsia" w:ascii="仿宋_GB2312" w:hAnsi="宋体" w:eastAsia="仿宋_GB2312" w:cs="宋体"/>
                <w:bCs/>
                <w:spacing w:val="-6"/>
                <w:kern w:val="0"/>
                <w:sz w:val="21"/>
                <w:szCs w:val="21"/>
                <w:lang w:val="en-US" w:eastAsia="zh-CN"/>
              </w:rPr>
              <w:t>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古蔺县小龙井水电开发有限公司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69226551-9</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(2016)川0525执72号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6</w:t>
            </w:r>
            <w:r>
              <w:rPr>
                <w:rFonts w:hint="eastAsia" w:ascii="仿宋_GB2312" w:hAnsi="宋体" w:eastAsia="仿宋_GB2312" w:cs="宋体"/>
                <w:bCs/>
                <w:spacing w:val="-6"/>
                <w:kern w:val="0"/>
                <w:sz w:val="21"/>
                <w:szCs w:val="21"/>
                <w:lang w:val="en-US" w:eastAsia="zh-CN"/>
              </w:rPr>
              <w:t>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洪雅恒森水电有限责任公司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68043462-9</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(2014)成执字第01214号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66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洪雅县吴河头道河电站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78229401-4</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(2017)川1423执91号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67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会理县兴豫水电开发有限公司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69917407-0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(2016)川3401执604号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68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九龙汇泉电力开发有限公司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76727203-6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(2014)甘中法执字第00016号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69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九龙县宏源水电开发有限责任公司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69696482-7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(2015)雅执字第00013号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70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九龙县吉利水电开发有限责任公司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68042940-8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(2014)成执字第01245号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7</w:t>
            </w:r>
            <w:r>
              <w:rPr>
                <w:rFonts w:hint="eastAsia" w:ascii="仿宋_GB2312" w:hAnsi="宋体" w:eastAsia="仿宋_GB2312" w:cs="宋体"/>
                <w:bCs/>
                <w:spacing w:val="-6"/>
                <w:kern w:val="0"/>
                <w:sz w:val="21"/>
                <w:szCs w:val="21"/>
                <w:lang w:val="en-US" w:eastAsia="zh-CN"/>
              </w:rPr>
              <w:t>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康定吉居电力开发有限公司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55349575-2</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(2017)川01执恢196号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7</w:t>
            </w:r>
            <w:r>
              <w:rPr>
                <w:rFonts w:hint="eastAsia" w:ascii="仿宋_GB2312" w:hAnsi="宋体" w:eastAsia="仿宋_GB2312" w:cs="宋体"/>
                <w:bCs/>
                <w:spacing w:val="-6"/>
                <w:kern w:val="0"/>
                <w:sz w:val="21"/>
                <w:szCs w:val="21"/>
                <w:lang w:val="en-US" w:eastAsia="zh-CN"/>
              </w:rPr>
              <w:t>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乐山迈士通能源技术有限公司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560739292</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(2015)乐中执字第00260号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7</w:t>
            </w:r>
            <w:r>
              <w:rPr>
                <w:rFonts w:hint="eastAsia" w:ascii="仿宋_GB2312" w:hAnsi="宋体" w:eastAsia="仿宋_GB2312" w:cs="宋体"/>
                <w:bCs/>
                <w:spacing w:val="-6"/>
                <w:kern w:val="0"/>
                <w:sz w:val="21"/>
                <w:szCs w:val="21"/>
                <w:lang w:val="en-US" w:eastAsia="zh-CN"/>
              </w:rPr>
              <w:t>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理县文泰水电开发有限责任公司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79787273-7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(2016)沪0117执02391号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7</w:t>
            </w:r>
            <w:r>
              <w:rPr>
                <w:rFonts w:hint="eastAsia" w:ascii="仿宋_GB2312" w:hAnsi="宋体" w:eastAsia="仿宋_GB2312" w:cs="宋体"/>
                <w:bCs/>
                <w:spacing w:val="-6"/>
                <w:kern w:val="0"/>
                <w:sz w:val="21"/>
                <w:szCs w:val="21"/>
                <w:lang w:val="en-US" w:eastAsia="zh-CN"/>
              </w:rPr>
              <w:t>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芦山县柏林二级电站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75470510-3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(2017)川1826执162号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7</w:t>
            </w:r>
            <w:r>
              <w:rPr>
                <w:rFonts w:hint="eastAsia" w:ascii="仿宋_GB2312" w:hAnsi="宋体" w:eastAsia="仿宋_GB2312" w:cs="宋体"/>
                <w:bCs/>
                <w:spacing w:val="-6"/>
                <w:kern w:val="0"/>
                <w:sz w:val="21"/>
                <w:szCs w:val="21"/>
                <w:lang w:val="en-US" w:eastAsia="zh-CN"/>
              </w:rPr>
              <w:t>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芦山县大川镇柏林电站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74004707-4</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(2016)川0129执600号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76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芦山县黎平二级水电站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75474303-8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(2017)川1826执143号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77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芦山县铜厂河椿天槽一级水电站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77793286X</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(2017)川0183执731号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78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马边大西洋能源产业有限公司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76232851-2</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(2016)渝01执496号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79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马边云兴水电有限责任公司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75663492-7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(2017)川0104执2406号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80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茂县文镇电力有限责任公司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74227314-7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(2017)川0191执5560号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8</w:t>
            </w:r>
            <w:r>
              <w:rPr>
                <w:rFonts w:hint="eastAsia" w:ascii="仿宋_GB2312" w:hAnsi="宋体" w:eastAsia="仿宋_GB2312" w:cs="宋体"/>
                <w:bCs/>
                <w:spacing w:val="-6"/>
                <w:kern w:val="0"/>
                <w:sz w:val="21"/>
                <w:szCs w:val="21"/>
                <w:lang w:val="en-US" w:eastAsia="zh-CN"/>
              </w:rPr>
              <w:t>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美姑兴业水电开发有限责任公司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68044837-7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(2017)川01执1660号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8</w:t>
            </w:r>
            <w:r>
              <w:rPr>
                <w:rFonts w:hint="eastAsia" w:ascii="仿宋_GB2312" w:hAnsi="宋体" w:eastAsia="仿宋_GB2312" w:cs="宋体"/>
                <w:bCs/>
                <w:spacing w:val="-6"/>
                <w:kern w:val="0"/>
                <w:sz w:val="21"/>
                <w:szCs w:val="21"/>
                <w:lang w:val="en-US" w:eastAsia="zh-CN"/>
              </w:rPr>
              <w:t>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沐川县七星火谷水电开发有限公司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75974501-6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(2016)川1102执688号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8</w:t>
            </w:r>
            <w:r>
              <w:rPr>
                <w:rFonts w:hint="eastAsia" w:ascii="仿宋_GB2312" w:hAnsi="宋体" w:eastAsia="仿宋_GB2312" w:cs="宋体"/>
                <w:bCs/>
                <w:spacing w:val="-6"/>
                <w:kern w:val="0"/>
                <w:sz w:val="21"/>
                <w:szCs w:val="21"/>
                <w:lang w:val="en-US" w:eastAsia="zh-CN"/>
              </w:rPr>
              <w:t>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南充欧力派电力科技有限公司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57276541-2</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(2017)川1304执703号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8</w:t>
            </w:r>
            <w:r>
              <w:rPr>
                <w:rFonts w:hint="eastAsia" w:ascii="仿宋_GB2312" w:hAnsi="宋体" w:eastAsia="仿宋_GB2312" w:cs="宋体"/>
                <w:bCs/>
                <w:spacing w:val="-6"/>
                <w:kern w:val="0"/>
                <w:sz w:val="21"/>
                <w:szCs w:val="21"/>
                <w:lang w:val="en-US" w:eastAsia="zh-CN"/>
              </w:rPr>
              <w:t>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青川鸿祥能源开发有限公司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669582604</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(2017)川0781执恢187号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8</w:t>
            </w:r>
            <w:r>
              <w:rPr>
                <w:rFonts w:hint="eastAsia" w:ascii="仿宋_GB2312" w:hAnsi="宋体" w:eastAsia="仿宋_GB2312" w:cs="宋体"/>
                <w:bCs/>
                <w:spacing w:val="-6"/>
                <w:kern w:val="0"/>
                <w:sz w:val="21"/>
                <w:szCs w:val="21"/>
                <w:lang w:val="en-US" w:eastAsia="zh-CN"/>
              </w:rPr>
              <w:t>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青神县星河航电有限公司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66275975-3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(2016)川14执10号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86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石棉县美罗乡红兴电站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75471445-6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(2016)川1824执201号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87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石棉县庙子坎电站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76231114-7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(2016)川1824执209号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88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石棉县山泉电站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77166109-3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(2016)川1822执164号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89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石棉县水磨沟电站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77169189-0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(2016)川1824执80号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90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石棉县鑫海实业有限责任公司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70908632-3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(2016)川1824执198号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9</w:t>
            </w:r>
            <w:r>
              <w:rPr>
                <w:rFonts w:hint="eastAsia" w:ascii="仿宋_GB2312" w:hAnsi="宋体" w:eastAsia="仿宋_GB2312" w:cs="宋体"/>
                <w:bCs/>
                <w:spacing w:val="-6"/>
                <w:kern w:val="0"/>
                <w:sz w:val="21"/>
                <w:szCs w:val="21"/>
                <w:lang w:val="en-US" w:eastAsia="zh-CN"/>
              </w:rPr>
              <w:t>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四川佰能生物发电有限公司苍溪秸秆热电厂</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553480243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(2017)川0824执1169号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9</w:t>
            </w:r>
            <w:r>
              <w:rPr>
                <w:rFonts w:hint="eastAsia" w:ascii="仿宋_GB2312" w:hAnsi="宋体" w:eastAsia="仿宋_GB2312" w:cs="宋体"/>
                <w:bCs/>
                <w:spacing w:val="-6"/>
                <w:kern w:val="0"/>
                <w:sz w:val="21"/>
                <w:szCs w:val="21"/>
                <w:lang w:val="en-US" w:eastAsia="zh-CN"/>
              </w:rPr>
              <w:t>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四川国宏实业有限公司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76726565-3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(2015)乐中执字第00558号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9</w:t>
            </w:r>
            <w:r>
              <w:rPr>
                <w:rFonts w:hint="eastAsia" w:ascii="仿宋_GB2312" w:hAnsi="宋体" w:eastAsia="仿宋_GB2312" w:cs="宋体"/>
                <w:bCs/>
                <w:spacing w:val="-6"/>
                <w:kern w:val="0"/>
                <w:sz w:val="21"/>
                <w:szCs w:val="21"/>
                <w:lang w:val="en-US" w:eastAsia="zh-CN"/>
              </w:rPr>
              <w:t>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四川浩源电力建设有限责任公司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756632227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(2014)宝执字第00093号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9</w:t>
            </w:r>
            <w:r>
              <w:rPr>
                <w:rFonts w:hint="eastAsia" w:ascii="仿宋_GB2312" w:hAnsi="宋体" w:eastAsia="仿宋_GB2312" w:cs="宋体"/>
                <w:bCs/>
                <w:spacing w:val="-6"/>
                <w:kern w:val="0"/>
                <w:sz w:val="21"/>
                <w:szCs w:val="21"/>
                <w:lang w:val="en-US" w:eastAsia="zh-CN"/>
              </w:rPr>
              <w:t>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四川恒博电力工程技术有限公司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667403529</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(2016)新都执832号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95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四川沙淇实业有限公司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74467197-4</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(2017)川71执24号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96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四川省洪雅大洋电力有限责任公司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765091936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(2017)川01执2137号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97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四川省洪雅禾森电力有限责任公司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70914472-2</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(2014)成铁中执字第00263号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98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四川省洪雅水电建设工程有限公司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62114606-1</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(2014)眉执字第00027号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99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四川省野牛电力开发有限公司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66277541-1</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(2016)川0104执982号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100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四川水电建设工程(集团)有限责任公司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20198272-5</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(2014)长经开执字第00457号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10</w:t>
            </w:r>
            <w:r>
              <w:rPr>
                <w:rFonts w:hint="eastAsia" w:ascii="仿宋_GB2312" w:hAnsi="宋体" w:eastAsia="仿宋_GB2312" w:cs="宋体"/>
                <w:bCs/>
                <w:spacing w:val="-6"/>
                <w:kern w:val="0"/>
                <w:sz w:val="21"/>
                <w:szCs w:val="21"/>
                <w:lang w:val="en-US" w:eastAsia="zh-CN"/>
              </w:rPr>
              <w:t>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四川震林每日光伏有限公司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09658702-8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(2017)川0683执488号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10</w:t>
            </w:r>
            <w:r>
              <w:rPr>
                <w:rFonts w:hint="eastAsia" w:ascii="仿宋_GB2312" w:hAnsi="宋体" w:eastAsia="仿宋_GB2312" w:cs="宋体"/>
                <w:bCs/>
                <w:spacing w:val="-6"/>
                <w:kern w:val="0"/>
                <w:sz w:val="21"/>
                <w:szCs w:val="21"/>
                <w:lang w:val="en-US" w:eastAsia="zh-CN"/>
              </w:rPr>
              <w:t>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松潘西川水电开发有限公司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55104446-4</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(2017)川01执恢196号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10</w:t>
            </w:r>
            <w:r>
              <w:rPr>
                <w:rFonts w:hint="eastAsia" w:ascii="仿宋_GB2312" w:hAnsi="宋体" w:eastAsia="仿宋_GB2312" w:cs="宋体"/>
                <w:bCs/>
                <w:spacing w:val="-6"/>
                <w:kern w:val="0"/>
                <w:sz w:val="21"/>
                <w:szCs w:val="21"/>
                <w:lang w:val="en-US" w:eastAsia="zh-CN"/>
              </w:rPr>
              <w:t>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汶川龙发电力有限责任公司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76726720-2</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(2015)成铁执字第00059号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10</w:t>
            </w:r>
            <w:r>
              <w:rPr>
                <w:rFonts w:hint="eastAsia" w:ascii="仿宋_GB2312" w:hAnsi="宋体" w:eastAsia="仿宋_GB2312" w:cs="宋体"/>
                <w:bCs/>
                <w:spacing w:val="-6"/>
                <w:kern w:val="0"/>
                <w:sz w:val="21"/>
                <w:szCs w:val="21"/>
                <w:lang w:val="en-US" w:eastAsia="zh-CN"/>
              </w:rPr>
              <w:t>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喜德县铁口电站有限公司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769976010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(2014)璧法民执字第00823号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05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新龙县汇鑫水电开发有限责任公司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05609354-1</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(2017)川01执1439号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06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宜宾智仁水电投资有限公司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68992667-0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(2014)昭中法执字第00104号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07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荥经县代璜沟电力开发有限公司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31459367-0</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(2016)川0104执2079号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08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荥经县祝家沟尾水电站</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765063126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(2016)川0129执415号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09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越西县尔普水电开发有限责任公司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79399700-6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(2013)成执字第00962号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10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越西县果海水电开发有限公司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67578807-8</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(2013)成执字第00962号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11</w:t>
            </w:r>
            <w:r>
              <w:rPr>
                <w:rFonts w:hint="eastAsia" w:ascii="仿宋_GB2312" w:hAnsi="宋体" w:eastAsia="仿宋_GB2312" w:cs="宋体"/>
                <w:bCs/>
                <w:spacing w:val="-6"/>
                <w:kern w:val="0"/>
                <w:sz w:val="21"/>
                <w:szCs w:val="21"/>
                <w:lang w:val="en-US" w:eastAsia="zh-CN"/>
              </w:rPr>
              <w:t>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四川</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昭觉永和嘉业达普水电有限公司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55577758-5</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(2013)成执字第00962号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11</w:t>
            </w:r>
            <w:r>
              <w:rPr>
                <w:rFonts w:hint="eastAsia" w:ascii="仿宋_GB2312" w:hAnsi="宋体" w:eastAsia="仿宋_GB2312" w:cs="宋体"/>
                <w:bCs/>
                <w:spacing w:val="-6"/>
                <w:kern w:val="0"/>
                <w:sz w:val="21"/>
                <w:szCs w:val="21"/>
                <w:lang w:val="en-US" w:eastAsia="zh-CN"/>
              </w:rPr>
              <w:t>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贵州</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毕节瑞诚新能源有限公司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090315822</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(2017)黔0521执447号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11</w:t>
            </w:r>
            <w:r>
              <w:rPr>
                <w:rFonts w:hint="eastAsia" w:ascii="仿宋_GB2312" w:hAnsi="宋体" w:eastAsia="仿宋_GB2312" w:cs="宋体"/>
                <w:bCs/>
                <w:spacing w:val="-6"/>
                <w:kern w:val="0"/>
                <w:sz w:val="21"/>
                <w:szCs w:val="21"/>
                <w:lang w:val="en-US" w:eastAsia="zh-CN"/>
              </w:rPr>
              <w:t>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贵州</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从江县高增跌水电站开发有限责任公司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683982225</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(2016)黔东黔东执第00086号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14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贵州</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贵州南垭电气科技有限公司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58411923-1</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(2017)黔01执548号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15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贵州</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黄平县天源水电开发有限责任公司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775312536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(2015)黄执字第00067号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16</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贵州</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湄潭县永固电力物资有限责任公司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569213967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(2016)渝0120执2692号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17</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贵州</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石阡县泉都电力有限责任公司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07601952-5</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(2016)湘0406执113号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18</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贵州</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兴仁县麻沙河水电开发有限公司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75536765-2</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(2017)黔23执67号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19</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新疆</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阿克苏兴华电业能源开发有限责任公司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78176162-9</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(2017)苏0582执1645号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20</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新疆</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察布查尔锡伯自治县润源恒升能源技术开发有限公司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32883873-9</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(2016)新2901执民482号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lang w:val="en-US" w:eastAsia="zh-CN"/>
              </w:rPr>
              <w:t>121</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新疆</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阜康市天池节能发电有限责任公司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22932703-6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(2016)新2302执504号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22</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新疆</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富蕴县德合三益能源有限公司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33310277-7</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(2017)兵1202执697号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23</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新疆</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乌恰县峰源实业有限公司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78989887-3</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(2013)恰法执字第00078号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24</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新疆</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新疆中煤华昱能源有限公司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58479701-6</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(2016)浙0212执1238号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eastAsia" w:ascii="仿宋_GB2312" w:hAnsi="宋体" w:eastAsia="仿宋_GB2312" w:cs="宋体"/>
                <w:bCs/>
                <w:spacing w:val="-6"/>
                <w:kern w:val="0"/>
                <w:sz w:val="21"/>
                <w:szCs w:val="21"/>
                <w:lang w:val="en-US" w:eastAsia="zh-CN"/>
              </w:rPr>
            </w:pPr>
            <w:r>
              <w:rPr>
                <w:rFonts w:hint="eastAsia" w:ascii="仿宋_GB2312" w:hAnsi="宋体" w:eastAsia="仿宋_GB2312" w:cs="宋体"/>
                <w:bCs/>
                <w:spacing w:val="-6"/>
                <w:kern w:val="0"/>
                <w:sz w:val="21"/>
                <w:szCs w:val="21"/>
              </w:rPr>
              <w:t>1</w:t>
            </w:r>
            <w:r>
              <w:rPr>
                <w:rFonts w:hint="eastAsia" w:ascii="仿宋_GB2312" w:hAnsi="宋体" w:eastAsia="仿宋_GB2312" w:cs="宋体"/>
                <w:bCs/>
                <w:spacing w:val="-6"/>
                <w:kern w:val="0"/>
                <w:sz w:val="21"/>
                <w:szCs w:val="21"/>
                <w:lang w:val="en-US" w:eastAsia="zh-CN"/>
              </w:rPr>
              <w:t>25</w:t>
            </w:r>
          </w:p>
        </w:tc>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新疆</w:t>
            </w:r>
          </w:p>
        </w:tc>
        <w:tc>
          <w:tcPr>
            <w:tcW w:w="3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中网电力建设有限公司奎屯分公司</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068847961</w:t>
            </w:r>
          </w:p>
        </w:tc>
        <w:tc>
          <w:tcPr>
            <w:tcW w:w="113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失信被执行人</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仿宋_GB2312" w:hAnsi="宋体" w:eastAsia="仿宋_GB2312" w:cs="宋体"/>
                <w:bCs/>
                <w:spacing w:val="-6"/>
                <w:kern w:val="0"/>
                <w:sz w:val="21"/>
                <w:szCs w:val="21"/>
              </w:rPr>
            </w:pPr>
            <w:r>
              <w:rPr>
                <w:rFonts w:hint="eastAsia" w:ascii="仿宋_GB2312" w:hAnsi="宋体" w:eastAsia="仿宋_GB2312" w:cs="宋体"/>
                <w:bCs/>
                <w:spacing w:val="-6"/>
                <w:kern w:val="0"/>
                <w:sz w:val="21"/>
                <w:szCs w:val="21"/>
              </w:rPr>
              <w:t>(2016)新0104执2216号</w:t>
            </w:r>
          </w:p>
        </w:tc>
      </w:tr>
    </w:tbl>
    <w:p>
      <w:pPr>
        <w:ind w:firstLine="600"/>
        <w:rPr>
          <w:rFonts w:ascii="方正黑体_GBK" w:eastAsia="方正黑体_GBK"/>
        </w:rPr>
      </w:pPr>
    </w:p>
    <w:p>
      <w:pPr>
        <w:ind w:firstLine="600"/>
        <w:rPr>
          <w:rFonts w:ascii="黑体" w:hAnsi="黑体" w:eastAsia="黑体"/>
        </w:rPr>
      </w:pPr>
      <w:r>
        <w:rPr>
          <w:rFonts w:hint="eastAsia" w:ascii="黑体" w:hAnsi="黑体" w:eastAsia="黑体"/>
        </w:rPr>
        <w:t>二、监管、大数据“黑名单”</w:t>
      </w:r>
    </w:p>
    <w:p>
      <w:pPr>
        <w:spacing w:after="204" w:afterLines="50"/>
        <w:ind w:firstLine="600"/>
        <w:rPr>
          <w:rFonts w:ascii="仿宋_GB2312" w:eastAsia="仿宋_GB2312"/>
        </w:rPr>
      </w:pPr>
      <w:r>
        <w:rPr>
          <w:rFonts w:hint="eastAsia" w:ascii="仿宋_GB2312" w:eastAsia="仿宋_GB2312"/>
        </w:rPr>
        <w:t>监管、大数据“黑名单”为组织搜集企业在涉电力领域发生严重失信行为，根据《关于加强和规范涉电力领域失信联合惩戒对象名单管理工作的实施意见》（发改运行规〔2018〕233号）文件要求拟实施联合惩戒的企业名单。</w:t>
      </w:r>
    </w:p>
    <w:tbl>
      <w:tblPr>
        <w:tblStyle w:val="8"/>
        <w:tblW w:w="9640" w:type="dxa"/>
        <w:tblInd w:w="-318" w:type="dxa"/>
        <w:tblLayout w:type="fixed"/>
        <w:tblCellMar>
          <w:top w:w="0" w:type="dxa"/>
          <w:left w:w="108" w:type="dxa"/>
          <w:bottom w:w="0" w:type="dxa"/>
          <w:right w:w="108" w:type="dxa"/>
        </w:tblCellMar>
      </w:tblPr>
      <w:tblGrid>
        <w:gridCol w:w="568"/>
        <w:gridCol w:w="708"/>
        <w:gridCol w:w="1556"/>
        <w:gridCol w:w="5674"/>
        <w:gridCol w:w="1134"/>
      </w:tblGrid>
      <w:tr>
        <w:tblPrEx>
          <w:tblLayout w:type="fixed"/>
          <w:tblCellMar>
            <w:top w:w="0" w:type="dxa"/>
            <w:left w:w="108" w:type="dxa"/>
            <w:bottom w:w="0" w:type="dxa"/>
            <w:right w:w="108" w:type="dxa"/>
          </w:tblCellMar>
        </w:tblPrEx>
        <w:trPr>
          <w:trHeight w:val="567"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序号</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省份</w:t>
            </w:r>
          </w:p>
        </w:tc>
        <w:tc>
          <w:tcPr>
            <w:tcW w:w="1556"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企业名称</w:t>
            </w:r>
          </w:p>
        </w:tc>
        <w:tc>
          <w:tcPr>
            <w:tcW w:w="567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失信行为描述</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失信领域</w:t>
            </w:r>
          </w:p>
        </w:tc>
      </w:tr>
      <w:tr>
        <w:tblPrEx>
          <w:tblLayout w:type="fixed"/>
          <w:tblCellMar>
            <w:top w:w="0" w:type="dxa"/>
            <w:left w:w="108" w:type="dxa"/>
            <w:bottom w:w="0" w:type="dxa"/>
            <w:right w:w="108" w:type="dxa"/>
          </w:tblCellMar>
        </w:tblPrEx>
        <w:trPr>
          <w:trHeight w:val="2697"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1</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河北</w:t>
            </w:r>
          </w:p>
        </w:tc>
        <w:tc>
          <w:tcPr>
            <w:tcW w:w="1556"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河北亿能烟塔工程有限公司</w:t>
            </w:r>
          </w:p>
        </w:tc>
        <w:tc>
          <w:tcPr>
            <w:tcW w:w="567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left"/>
              <w:rPr>
                <w:rFonts w:ascii="仿宋_GB2312" w:hAnsi="宋体" w:eastAsia="仿宋_GB2312" w:cs="宋体"/>
                <w:bCs/>
                <w:kern w:val="0"/>
                <w:sz w:val="21"/>
                <w:szCs w:val="21"/>
              </w:rPr>
            </w:pPr>
            <w:r>
              <w:rPr>
                <w:rFonts w:hint="eastAsia" w:ascii="仿宋_GB2312" w:hAnsi="宋体" w:eastAsia="仿宋_GB2312" w:cs="宋体"/>
                <w:bCs/>
                <w:kern w:val="0"/>
                <w:sz w:val="21"/>
                <w:szCs w:val="21"/>
              </w:rPr>
              <w:t>2016年11月24日，江西丰城发电厂三期扩建工程发生冷却塔施工平台坍塌特别重大事故，该公司作为发生坍塌事故的7号冷却塔施工单位，安全生产管理机制不健全，现场施工管理混乱，未按要求制定拆模作业管理控制措施，对拆模工序管理失控，对劳务分包单位管理缺失，长期任由劳务作业队伍凭经验盲目自行决定拆模。</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特别重大事故</w:t>
            </w:r>
          </w:p>
        </w:tc>
      </w:tr>
      <w:tr>
        <w:tblPrEx>
          <w:tblLayout w:type="fixed"/>
          <w:tblCellMar>
            <w:top w:w="0" w:type="dxa"/>
            <w:left w:w="108" w:type="dxa"/>
            <w:bottom w:w="0" w:type="dxa"/>
            <w:right w:w="108" w:type="dxa"/>
          </w:tblCellMar>
        </w:tblPrEx>
        <w:trPr>
          <w:trHeight w:val="567"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河北</w:t>
            </w:r>
          </w:p>
        </w:tc>
        <w:tc>
          <w:tcPr>
            <w:tcW w:w="1556"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河北硕邦经贸有限公司</w:t>
            </w:r>
          </w:p>
        </w:tc>
        <w:tc>
          <w:tcPr>
            <w:tcW w:w="567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left"/>
              <w:rPr>
                <w:rFonts w:ascii="仿宋_GB2312" w:hAnsi="宋体" w:eastAsia="仿宋_GB2312" w:cs="宋体"/>
                <w:bCs/>
                <w:kern w:val="0"/>
                <w:sz w:val="21"/>
                <w:szCs w:val="21"/>
              </w:rPr>
            </w:pPr>
            <w:r>
              <w:rPr>
                <w:rFonts w:hint="eastAsia" w:ascii="仿宋_GB2312" w:hAnsi="宋体" w:eastAsia="仿宋_GB2312" w:cs="宋体"/>
                <w:bCs/>
                <w:kern w:val="0"/>
                <w:sz w:val="21"/>
                <w:szCs w:val="21"/>
              </w:rPr>
              <w:t>2013年4月峰源公司与河北硕邦公司签订煤炭买卖合同，约定采购数量1.5万吨。2013年5月，峰源公司按照合同约定预付该公司煤款500万元，该公司未履行合同约定义务，欠煤1.5万吨。2013年9月，该公司退还煤款20万元，形成欠款480万元。2014年6月，峰源公司向石家庄仲裁委申请仲裁，2014年10月石家庄仲裁委裁决解除双方合同，该公司返还河北峰源预付款、利息损失及仲裁费。该公司原办公地址已查找不到该公司，裁决书全部内容被执行人均未履行。</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不按合同约定履行义务的</w:t>
            </w:r>
          </w:p>
        </w:tc>
      </w:tr>
      <w:tr>
        <w:tblPrEx>
          <w:tblLayout w:type="fixed"/>
          <w:tblCellMar>
            <w:top w:w="0" w:type="dxa"/>
            <w:left w:w="108" w:type="dxa"/>
            <w:bottom w:w="0" w:type="dxa"/>
            <w:right w:w="108" w:type="dxa"/>
          </w:tblCellMar>
        </w:tblPrEx>
        <w:trPr>
          <w:trHeight w:val="567"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3</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河北</w:t>
            </w:r>
          </w:p>
        </w:tc>
        <w:tc>
          <w:tcPr>
            <w:tcW w:w="1556"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秦皇岛晨和贸易有限公司</w:t>
            </w:r>
          </w:p>
        </w:tc>
        <w:tc>
          <w:tcPr>
            <w:tcW w:w="567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left"/>
              <w:rPr>
                <w:rFonts w:ascii="仿宋_GB2312" w:hAnsi="宋体" w:eastAsia="仿宋_GB2312" w:cs="宋体"/>
                <w:bCs/>
                <w:kern w:val="0"/>
                <w:sz w:val="21"/>
                <w:szCs w:val="21"/>
              </w:rPr>
            </w:pPr>
            <w:r>
              <w:rPr>
                <w:rFonts w:hint="eastAsia" w:ascii="仿宋_GB2312" w:hAnsi="宋体" w:eastAsia="仿宋_GB2312" w:cs="宋体"/>
                <w:bCs/>
                <w:kern w:val="0"/>
                <w:sz w:val="21"/>
                <w:szCs w:val="21"/>
              </w:rPr>
              <w:t>2011年峰源公司刚开始起步，经市场考察，内蒙煤炭价格较低，各电厂掺配需求量大，但运输困难。峰源公司与晨和公司合作发运煤炭。2012年6月，峰源公司向秦皇岛晨和公司采购4.5万吨下水煤，最终形成预付款3115.51万元。</w:t>
            </w:r>
            <w:r>
              <w:rPr>
                <w:rFonts w:hint="eastAsia" w:ascii="仿宋_GB2312" w:hAnsi="宋体" w:eastAsia="仿宋_GB2312" w:cs="宋体"/>
                <w:bCs/>
                <w:kern w:val="0"/>
                <w:sz w:val="21"/>
                <w:szCs w:val="21"/>
              </w:rPr>
              <w:br w:type="textWrapping"/>
            </w:r>
            <w:r>
              <w:rPr>
                <w:rFonts w:hint="eastAsia" w:ascii="仿宋_GB2312" w:hAnsi="宋体" w:eastAsia="仿宋_GB2312" w:cs="宋体"/>
                <w:bCs/>
                <w:kern w:val="0"/>
                <w:sz w:val="21"/>
                <w:szCs w:val="21"/>
              </w:rPr>
              <w:t>2012年7月25日、2012年8月1日、2012年8月20日、2012年9月28日双方签订五份《煤炭买卖合同》，峰源公司依约交付该公司五船煤炭，货款总计9077万元。该公司收货后，未能按合同约定向峰源公司支付相应货款，仅在2012年10月付款200万元，尚欠8877万元货款未付。</w:t>
            </w:r>
            <w:r>
              <w:rPr>
                <w:rFonts w:hint="eastAsia" w:ascii="仿宋_GB2312" w:hAnsi="宋体" w:eastAsia="仿宋_GB2312" w:cs="宋体"/>
                <w:bCs/>
                <w:kern w:val="0"/>
                <w:sz w:val="21"/>
                <w:szCs w:val="21"/>
              </w:rPr>
              <w:br w:type="textWrapping"/>
            </w:r>
            <w:r>
              <w:rPr>
                <w:rFonts w:hint="eastAsia" w:ascii="仿宋_GB2312" w:hAnsi="宋体" w:eastAsia="仿宋_GB2312" w:cs="宋体"/>
                <w:bCs/>
                <w:kern w:val="0"/>
                <w:sz w:val="21"/>
                <w:szCs w:val="21"/>
              </w:rPr>
              <w:t>上述案件均胜诉，除车辆拍卖执行款27万元外其他均未履行。</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不按合同约定履行义务的</w:t>
            </w:r>
          </w:p>
        </w:tc>
      </w:tr>
      <w:tr>
        <w:tblPrEx>
          <w:tblLayout w:type="fixed"/>
          <w:tblCellMar>
            <w:top w:w="0" w:type="dxa"/>
            <w:left w:w="108" w:type="dxa"/>
            <w:bottom w:w="0" w:type="dxa"/>
            <w:right w:w="108" w:type="dxa"/>
          </w:tblCellMar>
        </w:tblPrEx>
        <w:trPr>
          <w:trHeight w:val="1966"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4</w:t>
            </w:r>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山东</w:t>
            </w:r>
          </w:p>
        </w:tc>
        <w:tc>
          <w:tcPr>
            <w:tcW w:w="1556"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邹城市鑫路商贸有限公司</w:t>
            </w:r>
          </w:p>
        </w:tc>
        <w:tc>
          <w:tcPr>
            <w:tcW w:w="567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left"/>
              <w:rPr>
                <w:rFonts w:ascii="仿宋_GB2312" w:hAnsi="宋体" w:eastAsia="仿宋_GB2312" w:cs="宋体"/>
                <w:bCs/>
                <w:kern w:val="0"/>
                <w:sz w:val="21"/>
                <w:szCs w:val="21"/>
              </w:rPr>
            </w:pPr>
            <w:r>
              <w:rPr>
                <w:rFonts w:hint="eastAsia" w:ascii="仿宋_GB2312" w:hAnsi="宋体" w:eastAsia="仿宋_GB2312" w:cs="宋体"/>
                <w:bCs/>
                <w:kern w:val="0"/>
                <w:sz w:val="21"/>
                <w:szCs w:val="21"/>
              </w:rPr>
              <w:t>2011年6月峰源公司与鑫路公司签订煤炭买卖合同并随后签订补充协议，约定峰源公司预付煤款1000万元，该公司未按合同履行义务共计形成欠款336万元。2014年7月峰源公司向石家庄仲裁委员会申请仲裁，胜诉后裁决书内容全部未履行法律文书判决的义务法律文书判决的义务。</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不按合同约定履行义务的</w:t>
            </w:r>
          </w:p>
        </w:tc>
      </w:tr>
      <w:tr>
        <w:tblPrEx>
          <w:tblLayout w:type="fixed"/>
          <w:tblCellMar>
            <w:top w:w="0" w:type="dxa"/>
            <w:left w:w="108" w:type="dxa"/>
            <w:bottom w:w="0" w:type="dxa"/>
            <w:right w:w="108" w:type="dxa"/>
          </w:tblCellMar>
        </w:tblPrEx>
        <w:trPr>
          <w:trHeight w:val="567"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5</w:t>
            </w:r>
            <w:bookmarkStart w:id="0" w:name="_GoBack"/>
            <w:bookmarkEnd w:id="0"/>
          </w:p>
        </w:tc>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广西</w:t>
            </w:r>
          </w:p>
        </w:tc>
        <w:tc>
          <w:tcPr>
            <w:tcW w:w="1556"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广西玫瑰湖大酒店有限公司</w:t>
            </w:r>
          </w:p>
        </w:tc>
        <w:tc>
          <w:tcPr>
            <w:tcW w:w="567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left"/>
              <w:rPr>
                <w:rFonts w:ascii="仿宋_GB2312" w:hAnsi="宋体" w:eastAsia="仿宋_GB2312" w:cs="宋体"/>
                <w:bCs/>
                <w:kern w:val="0"/>
                <w:sz w:val="21"/>
                <w:szCs w:val="21"/>
              </w:rPr>
            </w:pPr>
            <w:r>
              <w:rPr>
                <w:rFonts w:hint="eastAsia" w:ascii="仿宋_GB2312" w:hAnsi="宋体" w:eastAsia="仿宋_GB2312" w:cs="宋体"/>
                <w:bCs/>
                <w:kern w:val="0"/>
                <w:sz w:val="21"/>
                <w:szCs w:val="21"/>
              </w:rPr>
              <w:t>客户拖欠电费55945.72元（欠费时间2015年8月-2015年11月），广西电网有限责任公司梧州供电局多次催收后无果后，向广西壮族自治区梧州市长洲区人民法院提出诉讼，并于2016年10月24日立案，案号为《（2016）桂0105民初1349号》，该案于2017年2月27日，判决广西电网有限责任公司梧州供电局胜诉，但执行未果。</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ind w:firstLine="0" w:firstLineChars="0"/>
              <w:jc w:val="center"/>
              <w:rPr>
                <w:rFonts w:ascii="仿宋_GB2312" w:hAnsi="宋体" w:eastAsia="仿宋_GB2312" w:cs="宋体"/>
                <w:bCs/>
                <w:kern w:val="0"/>
                <w:sz w:val="21"/>
                <w:szCs w:val="21"/>
              </w:rPr>
            </w:pPr>
            <w:r>
              <w:rPr>
                <w:rFonts w:hint="eastAsia" w:ascii="仿宋_GB2312" w:hAnsi="宋体" w:eastAsia="仿宋_GB2312" w:cs="宋体"/>
                <w:bCs/>
                <w:kern w:val="0"/>
                <w:sz w:val="21"/>
                <w:szCs w:val="21"/>
              </w:rPr>
              <w:t>拖欠电费</w:t>
            </w:r>
          </w:p>
        </w:tc>
      </w:tr>
    </w:tbl>
    <w:p>
      <w:pPr>
        <w:ind w:firstLine="600"/>
      </w:pPr>
    </w:p>
    <w:p>
      <w:pPr>
        <w:ind w:firstLine="600"/>
      </w:pPr>
    </w:p>
    <w:p>
      <w:pPr>
        <w:ind w:firstLine="600"/>
      </w:pPr>
    </w:p>
    <w:sectPr>
      <w:headerReference r:id="rId5" w:type="first"/>
      <w:footerReference r:id="rId8" w:type="first"/>
      <w:headerReference r:id="rId3" w:type="default"/>
      <w:footerReference r:id="rId6" w:type="default"/>
      <w:headerReference r:id="rId4" w:type="even"/>
      <w:footerReference r:id="rId7" w:type="even"/>
      <w:pgSz w:w="11906" w:h="16838"/>
      <w:pgMar w:top="1985" w:right="1616" w:bottom="1814" w:left="1616" w:header="851" w:footer="992" w:gutter="0"/>
      <w:pgNumType w:start="3"/>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729242970"/>
      <w:docPartObj>
        <w:docPartGallery w:val="AutoText"/>
      </w:docPartObj>
    </w:sdtPr>
    <w:sdtEndPr>
      <w:rPr>
        <w:sz w:val="24"/>
        <w:szCs w:val="24"/>
      </w:rPr>
    </w:sdtEndPr>
    <w:sdtContent>
      <w:p>
        <w:pPr>
          <w:pStyle w:val="5"/>
          <w:ind w:right="450" w:rightChars="150" w:firstLine="480"/>
          <w:jc w:val="right"/>
          <w:rPr>
            <w:sz w:val="24"/>
            <w:szCs w:val="24"/>
          </w:rPr>
        </w:pPr>
        <w:r>
          <w:rPr>
            <w:rFonts w:eastAsia="Arial Unicode MS"/>
            <w:sz w:val="24"/>
            <w:szCs w:val="24"/>
          </w:rP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13</w:t>
        </w:r>
        <w:r>
          <w:rPr>
            <w:sz w:val="24"/>
            <w:szCs w:val="24"/>
          </w:rPr>
          <w:fldChar w:fldCharType="end"/>
        </w:r>
        <w:r>
          <w:rPr>
            <w:sz w:val="24"/>
            <w:szCs w:val="24"/>
          </w:rPr>
          <w:t xml:space="preserve"> </w:t>
        </w:r>
        <w:r>
          <w:rPr>
            <w:rFonts w:eastAsia="Arial Unicode MS"/>
            <w:sz w:val="24"/>
            <w:szCs w:val="24"/>
          </w:rPr>
          <w:t>—</w:t>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729242978"/>
      <w:docPartObj>
        <w:docPartGallery w:val="AutoText"/>
      </w:docPartObj>
    </w:sdtPr>
    <w:sdtEndPr>
      <w:rPr>
        <w:sz w:val="24"/>
        <w:szCs w:val="24"/>
      </w:rPr>
    </w:sdtEndPr>
    <w:sdtContent>
      <w:p>
        <w:pPr>
          <w:pStyle w:val="5"/>
          <w:ind w:firstLine="480"/>
          <w:rPr>
            <w:sz w:val="24"/>
            <w:szCs w:val="24"/>
          </w:rPr>
        </w:pPr>
        <w:r>
          <w:rPr>
            <w:rFonts w:eastAsia="Arial Unicode MS"/>
            <w:sz w:val="24"/>
            <w:szCs w:val="24"/>
          </w:rP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14</w:t>
        </w:r>
        <w:r>
          <w:rPr>
            <w:sz w:val="24"/>
            <w:szCs w:val="24"/>
          </w:rPr>
          <w:fldChar w:fldCharType="end"/>
        </w:r>
        <w:r>
          <w:rPr>
            <w:sz w:val="24"/>
            <w:szCs w:val="24"/>
          </w:rPr>
          <w:t xml:space="preserve"> </w:t>
        </w:r>
        <w:r>
          <w:rPr>
            <w:rFonts w:eastAsia="Arial Unicode MS"/>
            <w:sz w:val="24"/>
            <w:szCs w:val="24"/>
          </w:rPr>
          <w:t>—</w:t>
        </w:r>
      </w:p>
    </w:sdtContent>
  </w:sdt>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evenAndOddHeaders w:val="1"/>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98"/>
    <w:rsid w:val="00023C64"/>
    <w:rsid w:val="00027B34"/>
    <w:rsid w:val="000415F2"/>
    <w:rsid w:val="00065031"/>
    <w:rsid w:val="00070800"/>
    <w:rsid w:val="000A0136"/>
    <w:rsid w:val="000A2241"/>
    <w:rsid w:val="000A54B3"/>
    <w:rsid w:val="000D7D98"/>
    <w:rsid w:val="000F3B20"/>
    <w:rsid w:val="001217DC"/>
    <w:rsid w:val="00123B08"/>
    <w:rsid w:val="001278FF"/>
    <w:rsid w:val="001859A4"/>
    <w:rsid w:val="0019040F"/>
    <w:rsid w:val="001A1EE4"/>
    <w:rsid w:val="001A257F"/>
    <w:rsid w:val="001D1F87"/>
    <w:rsid w:val="001F4D37"/>
    <w:rsid w:val="002564BA"/>
    <w:rsid w:val="0029374D"/>
    <w:rsid w:val="002D6AA4"/>
    <w:rsid w:val="00301BEB"/>
    <w:rsid w:val="003234D4"/>
    <w:rsid w:val="00326C30"/>
    <w:rsid w:val="00363299"/>
    <w:rsid w:val="00397BE6"/>
    <w:rsid w:val="003D214A"/>
    <w:rsid w:val="003E100A"/>
    <w:rsid w:val="003F3EF8"/>
    <w:rsid w:val="00434E8C"/>
    <w:rsid w:val="0044055F"/>
    <w:rsid w:val="004576DE"/>
    <w:rsid w:val="00475953"/>
    <w:rsid w:val="004A2AF9"/>
    <w:rsid w:val="004B0D3B"/>
    <w:rsid w:val="00537235"/>
    <w:rsid w:val="005446CF"/>
    <w:rsid w:val="00561220"/>
    <w:rsid w:val="00562C56"/>
    <w:rsid w:val="00566FAD"/>
    <w:rsid w:val="00575BD2"/>
    <w:rsid w:val="005863B3"/>
    <w:rsid w:val="0060520C"/>
    <w:rsid w:val="00630F29"/>
    <w:rsid w:val="00653EE4"/>
    <w:rsid w:val="006D0640"/>
    <w:rsid w:val="006F6307"/>
    <w:rsid w:val="007078AF"/>
    <w:rsid w:val="00740508"/>
    <w:rsid w:val="0076723B"/>
    <w:rsid w:val="00777387"/>
    <w:rsid w:val="007D23FD"/>
    <w:rsid w:val="007E6578"/>
    <w:rsid w:val="007F2095"/>
    <w:rsid w:val="008173C3"/>
    <w:rsid w:val="008261BD"/>
    <w:rsid w:val="00854553"/>
    <w:rsid w:val="00866DB6"/>
    <w:rsid w:val="00881CCD"/>
    <w:rsid w:val="00887E5C"/>
    <w:rsid w:val="008A1C32"/>
    <w:rsid w:val="008A20FF"/>
    <w:rsid w:val="008A357C"/>
    <w:rsid w:val="009049E6"/>
    <w:rsid w:val="009E510C"/>
    <w:rsid w:val="009F34CD"/>
    <w:rsid w:val="00A0218F"/>
    <w:rsid w:val="00A05B08"/>
    <w:rsid w:val="00A133A1"/>
    <w:rsid w:val="00A14791"/>
    <w:rsid w:val="00A36B83"/>
    <w:rsid w:val="00A5082E"/>
    <w:rsid w:val="00A71363"/>
    <w:rsid w:val="00A81CBC"/>
    <w:rsid w:val="00AC3427"/>
    <w:rsid w:val="00AD1B0E"/>
    <w:rsid w:val="00AE11C6"/>
    <w:rsid w:val="00AF2D72"/>
    <w:rsid w:val="00B15B82"/>
    <w:rsid w:val="00B24ED9"/>
    <w:rsid w:val="00B3495D"/>
    <w:rsid w:val="00B5140D"/>
    <w:rsid w:val="00B71B68"/>
    <w:rsid w:val="00B73D3C"/>
    <w:rsid w:val="00BB28B8"/>
    <w:rsid w:val="00BD132C"/>
    <w:rsid w:val="00C06DDF"/>
    <w:rsid w:val="00C35301"/>
    <w:rsid w:val="00C67122"/>
    <w:rsid w:val="00C67630"/>
    <w:rsid w:val="00C679D8"/>
    <w:rsid w:val="00C81885"/>
    <w:rsid w:val="00C83E3E"/>
    <w:rsid w:val="00CA0202"/>
    <w:rsid w:val="00CA5770"/>
    <w:rsid w:val="00CD0960"/>
    <w:rsid w:val="00CF3608"/>
    <w:rsid w:val="00D53EB6"/>
    <w:rsid w:val="00D82803"/>
    <w:rsid w:val="00D84089"/>
    <w:rsid w:val="00DA7220"/>
    <w:rsid w:val="00DD2751"/>
    <w:rsid w:val="00DD459D"/>
    <w:rsid w:val="00DF4A39"/>
    <w:rsid w:val="00DF61D3"/>
    <w:rsid w:val="00E06B9C"/>
    <w:rsid w:val="00E25CF3"/>
    <w:rsid w:val="00EA1A0E"/>
    <w:rsid w:val="00EF23AC"/>
    <w:rsid w:val="00EF28F5"/>
    <w:rsid w:val="00F210F4"/>
    <w:rsid w:val="00F37C18"/>
    <w:rsid w:val="00F74899"/>
    <w:rsid w:val="00F84F87"/>
    <w:rsid w:val="00FB5673"/>
    <w:rsid w:val="32D57091"/>
    <w:rsid w:val="40F96DAD"/>
    <w:rsid w:val="66956B59"/>
    <w:rsid w:val="7133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9"/>
    <w:qFormat/>
    <w:uiPriority w:val="9"/>
    <w:pPr>
      <w:keepNext/>
      <w:keepLines/>
      <w:ind w:firstLine="0" w:firstLineChars="0"/>
      <w:jc w:val="center"/>
      <w:outlineLvl w:val="0"/>
    </w:pPr>
    <w:rPr>
      <w:rFonts w:eastAsia="方正小标宋_GBK" w:asciiTheme="minorHAnsi" w:hAnsiTheme="minorHAnsi" w:cstheme="minorBidi"/>
      <w:bCs/>
      <w:kern w:val="44"/>
      <w:sz w:val="40"/>
      <w:szCs w:val="44"/>
    </w:rPr>
  </w:style>
  <w:style w:type="paragraph" w:styleId="3">
    <w:name w:val="heading 2"/>
    <w:basedOn w:val="1"/>
    <w:next w:val="1"/>
    <w:link w:val="10"/>
    <w:unhideWhenUsed/>
    <w:qFormat/>
    <w:uiPriority w:val="9"/>
    <w:pPr>
      <w:keepNext/>
      <w:keepLines/>
      <w:outlineLvl w:val="1"/>
    </w:pPr>
    <w:rPr>
      <w:rFonts w:eastAsia="方正黑体_GBK" w:asciiTheme="majorHAnsi" w:hAnsiTheme="majorHAnsi" w:cstheme="majorBidi"/>
      <w:bCs/>
      <w:szCs w:val="32"/>
    </w:rPr>
  </w:style>
  <w:style w:type="paragraph" w:styleId="4">
    <w:name w:val="heading 3"/>
    <w:basedOn w:val="1"/>
    <w:next w:val="1"/>
    <w:link w:val="11"/>
    <w:unhideWhenUsed/>
    <w:qFormat/>
    <w:uiPriority w:val="9"/>
    <w:pPr>
      <w:keepNext/>
      <w:keepLines/>
      <w:outlineLvl w:val="2"/>
    </w:pPr>
    <w:rPr>
      <w:rFonts w:eastAsia="方正楷体_GBK"/>
      <w:bCs/>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标题 1 Char"/>
    <w:basedOn w:val="7"/>
    <w:link w:val="2"/>
    <w:qFormat/>
    <w:uiPriority w:val="9"/>
    <w:rPr>
      <w:rFonts w:eastAsia="方正小标宋_GBK"/>
      <w:bCs/>
      <w:kern w:val="44"/>
      <w:sz w:val="40"/>
      <w:szCs w:val="44"/>
    </w:rPr>
  </w:style>
  <w:style w:type="character" w:customStyle="1" w:styleId="10">
    <w:name w:val="标题 2 Char"/>
    <w:basedOn w:val="7"/>
    <w:link w:val="3"/>
    <w:qFormat/>
    <w:uiPriority w:val="9"/>
    <w:rPr>
      <w:rFonts w:eastAsia="方正黑体_GBK" w:asciiTheme="majorHAnsi" w:hAnsiTheme="majorHAnsi" w:cstheme="majorBidi"/>
      <w:bCs/>
      <w:sz w:val="30"/>
      <w:szCs w:val="32"/>
    </w:rPr>
  </w:style>
  <w:style w:type="character" w:customStyle="1" w:styleId="11">
    <w:name w:val="标题 3 Char"/>
    <w:basedOn w:val="7"/>
    <w:link w:val="4"/>
    <w:qFormat/>
    <w:uiPriority w:val="9"/>
    <w:rPr>
      <w:rFonts w:ascii="Times New Roman" w:hAnsi="Times New Roman" w:eastAsia="方正楷体_GBK" w:cs="Times New Roman"/>
      <w:bCs/>
      <w:sz w:val="30"/>
      <w:szCs w:val="32"/>
    </w:rPr>
  </w:style>
  <w:style w:type="character" w:customStyle="1" w:styleId="12">
    <w:name w:val="页眉 Char"/>
    <w:basedOn w:val="7"/>
    <w:link w:val="6"/>
    <w:semiHidden/>
    <w:qFormat/>
    <w:uiPriority w:val="99"/>
    <w:rPr>
      <w:rFonts w:ascii="Times New Roman" w:hAnsi="Times New Roman" w:eastAsia="方正仿宋_GBK" w:cs="Times New Roman"/>
      <w:sz w:val="18"/>
      <w:szCs w:val="18"/>
    </w:rPr>
  </w:style>
  <w:style w:type="character" w:customStyle="1" w:styleId="13">
    <w:name w:val="页脚 Char"/>
    <w:basedOn w:val="7"/>
    <w:link w:val="5"/>
    <w:qFormat/>
    <w:uiPriority w:val="99"/>
    <w:rPr>
      <w:rFonts w:ascii="Times New Roman" w:hAnsi="Times New Roman" w:eastAsia="方正仿宋_GBK" w:cs="Times New Roman"/>
      <w:sz w:val="18"/>
      <w:szCs w:val="18"/>
    </w:rPr>
  </w:style>
  <w:style w:type="paragraph" w:styleId="1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公文专用">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1423</Words>
  <Characters>8116</Characters>
  <Lines>67</Lines>
  <Paragraphs>19</Paragraphs>
  <TotalTime>19</TotalTime>
  <ScaleCrop>false</ScaleCrop>
  <LinksUpToDate>false</LinksUpToDate>
  <CharactersWithSpaces>9520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2018-12-04T05:21:00Z</dcterms:created>
  <dc:creator>曾辉</dc:creator>
  <cp:lastModifiedBy>User</cp:lastModifiedBy>
  <cp:lastPrinted>2018-11-13T09:25:00Z</cp:lastPrinted>
  <dcterms:modified xsi:type="dcterms:W3CDTF">2018-12-07T07:30:43Z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