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甘肃省</w:t>
      </w:r>
      <w:r>
        <w:rPr>
          <w:rFonts w:hint="default" w:ascii="方正小标宋简体" w:hAnsi="方正小标宋简体" w:eastAsia="方正小标宋简体" w:cs="方正小标宋简体"/>
          <w:color w:val="auto"/>
          <w:kern w:val="2"/>
          <w:sz w:val="36"/>
          <w:szCs w:val="36"/>
          <w:lang w:val="en" w:eastAsia="zh-CN" w:bidi="ar-SA"/>
        </w:rPr>
        <w:t>自然资源行业</w:t>
      </w:r>
      <w:r>
        <w:rPr>
          <w:rFonts w:hint="eastAsia" w:ascii="方正小标宋简体" w:hAnsi="方正小标宋简体" w:eastAsia="方正小标宋简体" w:cs="方正小标宋简体"/>
          <w:color w:val="auto"/>
          <w:kern w:val="2"/>
          <w:sz w:val="36"/>
          <w:szCs w:val="36"/>
          <w:lang w:val="en" w:eastAsia="zh-CN" w:bidi="ar-SA"/>
        </w:rPr>
        <w:t>资质</w:t>
      </w:r>
      <w:r>
        <w:rPr>
          <w:rFonts w:hint="default" w:ascii="方正小标宋简体" w:hAnsi="方正小标宋简体" w:eastAsia="方正小标宋简体" w:cs="方正小标宋简体"/>
          <w:color w:val="auto"/>
          <w:kern w:val="2"/>
          <w:sz w:val="36"/>
          <w:szCs w:val="36"/>
          <w:lang w:val="en" w:eastAsia="zh-CN" w:bidi="ar-SA"/>
        </w:rPr>
        <w:t>审查标准清单</w:t>
      </w:r>
    </w:p>
    <w:tbl>
      <w:tblPr>
        <w:tblStyle w:val="4"/>
        <w:tblpPr w:leftFromText="180" w:rightFromText="180" w:vertAnchor="page" w:horzAnchor="page" w:tblpX="1522" w:tblpY="3045"/>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550"/>
        <w:gridCol w:w="5204"/>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40" w:type="dxa"/>
            <w:noWrap w:val="0"/>
            <w:vAlign w:val="center"/>
          </w:tcPr>
          <w:p>
            <w:pPr>
              <w:bidi w:val="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审查标准</w:t>
            </w:r>
          </w:p>
        </w:tc>
        <w:tc>
          <w:tcPr>
            <w:tcW w:w="1221" w:type="dxa"/>
            <w:noWrap w:val="0"/>
            <w:vAlign w:val="center"/>
          </w:tcPr>
          <w:p>
            <w:pPr>
              <w:bidi w:val="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乙级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资质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清单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主体要求</w:t>
            </w:r>
          </w:p>
        </w:tc>
        <w:tc>
          <w:tcPr>
            <w:tcW w:w="5204" w:type="dxa"/>
            <w:noWrap w:val="0"/>
            <w:vAlign w:val="top"/>
          </w:tcPr>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申请人应为独立法人。不具有法人资格的不能申请（如：非法人企业、办事处等），具备从事测绘活动相适应的专业技术人员。</w:t>
            </w:r>
          </w:p>
        </w:tc>
        <w:tc>
          <w:tcPr>
            <w:tcW w:w="122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1.《测绘资质管理办法》（自然资办发〔2021〕43号）第二条、第五条；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2.《测绘资质分类分级标准》（自然资办发〔2021〕43号）第一条、第二条。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sz w:val="28"/>
                <w:szCs w:val="28"/>
                <w:lang w:val="en-US" w:eastAsia="zh-CN"/>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技术人员</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具备从事测绘活动相适应的专业技术人员和测绘相关专业技术人员。</w:t>
            </w:r>
          </w:p>
        </w:tc>
        <w:tc>
          <w:tcPr>
            <w:tcW w:w="122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技术装备</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具备与专业类别相匹配的测绘仪器设备和设施，且仪器设备符合国家计量检定规程要求。</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安全和质量体系</w:t>
            </w:r>
          </w:p>
        </w:tc>
        <w:tc>
          <w:tcPr>
            <w:tcW w:w="5204" w:type="dxa"/>
            <w:noWrap w:val="0"/>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具有健全的技术和质量保证体系、安全保障措施、信息安全保密制度及测绘成果和资料档案管理制度。</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专业类别</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大地测量、测绘航空摄影、摄影测量与遥感、工程测量、海洋测绘、界线与不动产测绘、地理信息系统工程、地图编制、导航电子地图制作、互联网地图服务。</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甲级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资质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清单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204" w:type="dxa"/>
            <w:noWrap w:val="0"/>
            <w:vAlign w:val="top"/>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申请人应为独立法人。不具有法人资格的不能申请（如：非法人企业、办事处等），具备从事测绘活动相适应的专业技术人员。</w:t>
            </w:r>
          </w:p>
        </w:tc>
        <w:tc>
          <w:tcPr>
            <w:tcW w:w="122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1.《测绘资质管理办法》（自然资办发</w:t>
            </w:r>
            <w:r>
              <w:rPr>
                <w:rFonts w:hint="eastAsia" w:ascii="仿宋_GB2312" w:hAnsi="仿宋_GB2312" w:eastAsia="仿宋_GB2312" w:cs="仿宋_GB2312"/>
                <w:color w:val="auto"/>
                <w:sz w:val="24"/>
                <w:szCs w:val="24"/>
                <w:vertAlign w:val="baseline"/>
                <w:lang w:val="en-US" w:eastAsia="zh-CN"/>
              </w:rPr>
              <w:t>〔2021〕</w:t>
            </w:r>
            <w:r>
              <w:rPr>
                <w:rFonts w:hint="eastAsia" w:ascii="仿宋_GB2312" w:hAnsi="仿宋_GB2312" w:eastAsia="仿宋_GB2312" w:cs="仿宋_GB2312"/>
                <w:color w:val="auto"/>
                <w:sz w:val="24"/>
                <w:szCs w:val="32"/>
                <w:vertAlign w:val="baseline"/>
                <w:lang w:val="en-US" w:eastAsia="zh-CN"/>
              </w:rPr>
              <w:t>43号）第五条；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eastAsia" w:ascii="仿宋_GB2312" w:hAnsi="仿宋_GB2312" w:eastAsia="仿宋_GB2312" w:cs="仿宋_GB2312"/>
                <w:color w:val="auto"/>
                <w:sz w:val="24"/>
                <w:szCs w:val="32"/>
                <w:vertAlign w:val="baseline"/>
                <w:lang w:val="en-US" w:eastAsia="zh-CN"/>
              </w:rPr>
              <w:t>2.《测绘资质分类分级标准》（自然资办发</w:t>
            </w:r>
            <w:r>
              <w:rPr>
                <w:rFonts w:hint="eastAsia" w:ascii="仿宋_GB2312" w:hAnsi="仿宋_GB2312" w:eastAsia="仿宋_GB2312" w:cs="仿宋_GB2312"/>
                <w:color w:val="auto"/>
                <w:sz w:val="24"/>
                <w:szCs w:val="24"/>
                <w:vertAlign w:val="baseline"/>
                <w:lang w:val="en-US" w:eastAsia="zh-CN"/>
              </w:rPr>
              <w:t>〔2021〕</w:t>
            </w:r>
            <w:bookmarkStart w:id="0" w:name="_GoBack"/>
            <w:bookmarkEnd w:id="0"/>
            <w:r>
              <w:rPr>
                <w:rFonts w:hint="eastAsia" w:ascii="仿宋_GB2312" w:hAnsi="仿宋_GB2312" w:eastAsia="仿宋_GB2312" w:cs="仿宋_GB2312"/>
                <w:color w:val="auto"/>
                <w:sz w:val="24"/>
                <w:szCs w:val="32"/>
                <w:vertAlign w:val="baseline"/>
                <w:lang w:val="en-US" w:eastAsia="zh-CN"/>
              </w:rPr>
              <w:t>43号）第一条、第二条及附件《专业标准》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204" w:type="dxa"/>
            <w:noWrap w:val="0"/>
            <w:vAlign w:val="top"/>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具备从事测绘活动相适应的专业技术人员和测绘相关专业技术人员。</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sz w:val="24"/>
                <w:szCs w:val="24"/>
                <w:lang w:val="en-US" w:eastAsia="zh-CN"/>
              </w:rPr>
              <w:t>技术装备</w:t>
            </w:r>
          </w:p>
        </w:tc>
        <w:tc>
          <w:tcPr>
            <w:tcW w:w="5204" w:type="dxa"/>
            <w:noWrap w:val="0"/>
            <w:vAlign w:val="top"/>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具备与专业类别相匹配的测绘仪器设备和设施，且仪器设备符合国家计量检定规程要求。</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sz w:val="24"/>
                <w:szCs w:val="24"/>
                <w:lang w:val="en-US" w:eastAsia="zh-CN"/>
              </w:rPr>
              <w:t>安全和质量体系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具有健全的技术和质量保证体系、安全保障措施、信息安全保密制度及测绘成果和资料档案管理制度。</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作业限制</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甲级资质在专业类别内无作业范围限制。</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sz w:val="24"/>
                <w:szCs w:val="24"/>
                <w:lang w:val="en-US" w:eastAsia="zh-CN"/>
              </w:rPr>
              <w:t>业绩要求</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（1）时限。验收时间在近2年内，是指从申请单位提交申请材料之日起往前推算2年。</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业绩计算。1.申报业绩与申请的专业类别相符，且申报每个专业类别业绩总额达到600万元。2.申报每个专业类别的业绩中至少有一个50万以上的测绘项目。3.申报业绩中不存在超测绘资质等级、专业类别作业，和违规分包、转包情形的测绘项目；合法分包应提供总包项目合同。</w:t>
            </w:r>
          </w:p>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（3）验收方式。各项目均应全部完成并通过验收，能够提供验收合格凭证，未完成的项目不予认可。</w:t>
            </w:r>
          </w:p>
        </w:tc>
        <w:tc>
          <w:tcPr>
            <w:tcW w:w="1221" w:type="dxa"/>
            <w:vMerge w:val="continue"/>
            <w:noWrap w:val="0"/>
            <w:vAlign w:val="top"/>
          </w:tcPr>
          <w:p>
            <w:pPr>
              <w:bidi w:val="0"/>
              <w:jc w:val="both"/>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sz w:val="28"/>
                <w:szCs w:val="28"/>
                <w:vertAlign w:val="baseline"/>
                <w:lang w:val="en-US" w:eastAsia="zh-CN"/>
              </w:rPr>
              <w:t>审查标准</w:t>
            </w:r>
          </w:p>
        </w:tc>
        <w:tc>
          <w:tcPr>
            <w:tcW w:w="1221" w:type="dxa"/>
            <w:noWrap w:val="0"/>
            <w:vAlign w:val="center"/>
          </w:tcPr>
          <w:p>
            <w:pPr>
              <w:bidi w:val="0"/>
              <w:jc w:val="center"/>
              <w:rPr>
                <w:rFonts w:hint="default"/>
                <w:color w:val="auto"/>
                <w:lang w:val="en-US" w:eastAsia="zh-CN"/>
              </w:rPr>
            </w:pPr>
            <w:r>
              <w:rPr>
                <w:rFonts w:hint="eastAsia" w:ascii="仿宋_GB2312" w:hAnsi="仿宋_GB2312" w:eastAsia="仿宋_GB2312" w:cs="仿宋_GB2312"/>
                <w:b/>
                <w:bCs/>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40" w:type="dxa"/>
            <w:vMerge w:val="restart"/>
            <w:noWrap w:val="0"/>
            <w:vAlign w:val="center"/>
          </w:tcPr>
          <w:p>
            <w:pPr>
              <w:pStyle w:val="3"/>
              <w:keepNext w:val="0"/>
              <w:keepLines w:val="0"/>
              <w:widowControl/>
              <w:suppressLineNumbers w:val="0"/>
              <w:spacing w:before="0" w:beforeAutospacing="0" w:after="0" w:afterAutospacing="0" w:line="400" w:lineRule="exact"/>
              <w:ind w:left="0" w:right="0" w:firstLine="0"/>
              <w:jc w:val="center"/>
              <w:rPr>
                <w:sz w:val="28"/>
                <w:szCs w:val="28"/>
                <w:vertAlign w:val="baseline"/>
                <w:lang w:val="en-US" w:eastAsia="zh-CN"/>
              </w:rPr>
            </w:pPr>
            <w:r>
              <w:rPr>
                <w:rFonts w:hint="eastAsia" w:ascii="仿宋_GB2312" w:hAnsi="仿宋_GB2312" w:eastAsia="仿宋_GB2312" w:cs="仿宋_GB2312"/>
                <w:b/>
                <w:bCs/>
                <w:sz w:val="28"/>
                <w:szCs w:val="28"/>
                <w:lang w:val="en-US" w:eastAsia="zh-CN"/>
              </w:rPr>
              <w:t>城乡 规划（国土空间 规划）编制 乙级 资质 审查 标准 清单</w:t>
            </w:r>
          </w:p>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主体要求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具有法人资格</w:t>
            </w:r>
          </w:p>
        </w:tc>
        <w:tc>
          <w:tcPr>
            <w:tcW w:w="1221" w:type="dxa"/>
            <w:vMerge w:val="restart"/>
            <w:noWrap w:val="0"/>
            <w:vAlign w:val="center"/>
          </w:tcPr>
          <w:p>
            <w:pPr>
              <w:numPr>
                <w:ilvl w:val="0"/>
                <w:numId w:val="0"/>
              </w:numPr>
              <w:ind w:left="0" w:leftChars="0" w:firstLine="0" w:firstLineChars="0"/>
              <w:jc w:val="both"/>
              <w:rPr>
                <w:rFonts w:hint="default"/>
                <w:color w:val="auto"/>
                <w:lang w:val="en-US" w:eastAsia="zh-CN"/>
              </w:rPr>
            </w:pPr>
            <w:r>
              <w:rPr>
                <w:rFonts w:hint="eastAsia" w:ascii="仿宋_GB2312" w:hAnsi="仿宋_GB2312" w:eastAsia="仿宋_GB2312" w:cs="仿宋_GB2312"/>
                <w:sz w:val="24"/>
                <w:szCs w:val="24"/>
                <w:vertAlign w:val="baseline"/>
                <w:lang w:val="en-US" w:eastAsia="zh-CN"/>
              </w:rPr>
              <w:t>《城乡规划编制单位资质管理办法》（自然资源部令第11号）第六条、第七条、第八条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4"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技术人员</w:t>
            </w:r>
          </w:p>
        </w:tc>
        <w:tc>
          <w:tcPr>
            <w:tcW w:w="5204" w:type="dxa"/>
            <w:noWrap w:val="0"/>
            <w:vAlign w:val="center"/>
          </w:tcPr>
          <w:p>
            <w:pPr>
              <w:pStyle w:val="3"/>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专业技术人员不少于20人。其中具有城乡规划、土地规划管理相关专业高级技术职称的分别不少于1人；具有道路交通、给水排水、建筑、电力电信、燃气热力、地理、风景园林、生态环境、经济、地理信息、海洋、测绘、林草、地质相关专业高级技术职称的总人数不少于2人。具有城乡规划、土地规划管理相关专业中级技术职称的分别不少于1人，共不少于5人；具有其他专业中级技术职称的不少于10人，其中具有道路交通、给水排水、建筑、电力电信、燃气热力、地理、风景园林、生态环境、经济、地理信息、海洋、测绘、林草、地质相关专业中级技术职称的总人数不少于5人；聘用70周岁以下的退休高级职称技术人员或注册城乡规划师不超过1人。</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特殊要求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注册城乡规划师不少于3人。</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场所要求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有200平方米以上的固定工作场所，以及完善的技术、质量、安全、保密、档案、财务管理制度。</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140" w:type="dxa"/>
            <w:vMerge w:val="continue"/>
            <w:noWrap w:val="0"/>
            <w:vAlign w:val="center"/>
          </w:tcPr>
          <w:p>
            <w:pPr>
              <w:tabs>
                <w:tab w:val="left" w:pos="387"/>
              </w:tabs>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作业限制</w:t>
            </w:r>
          </w:p>
        </w:tc>
        <w:tc>
          <w:tcPr>
            <w:tcW w:w="5204" w:type="dxa"/>
            <w:noWrap w:val="0"/>
            <w:vAlign w:val="center"/>
          </w:tcPr>
          <w:p>
            <w:pPr>
              <w:pStyle w:val="3"/>
              <w:keepNext w:val="0"/>
              <w:keepLines w:val="0"/>
              <w:widowControl/>
              <w:numPr>
                <w:ilvl w:val="0"/>
                <w:numId w:val="1"/>
              </w:numPr>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城区常住人口20万以下市县国土空间总体规划、乡镇国土空间总体规划的编制；    （二）乡镇、登记注册所在地城市和城区常住人口100万以下城市，法律法规对于规划编制单位资质有特定要求的有关专项规划的编制；   （三）详细规划的编制；</w:t>
            </w:r>
          </w:p>
          <w:p>
            <w:pPr>
              <w:pStyle w:val="3"/>
              <w:keepNext w:val="0"/>
              <w:keepLines w:val="0"/>
              <w:widowControl/>
              <w:numPr>
                <w:ilvl w:val="0"/>
                <w:numId w:val="0"/>
              </w:numPr>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（四）建设项目规划选址和用地预审阶段相关论证报告的编制。 </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质量管理  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具备国土空间规划编制、论证、技术咨询等相应技术能力，拥有完善的规划编制质量控制体系。</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sz w:val="28"/>
                <w:szCs w:val="28"/>
                <w:vertAlign w:val="baseline"/>
                <w:lang w:val="en-US" w:eastAsia="zh-CN"/>
              </w:rPr>
              <w:t>审查标准</w:t>
            </w:r>
          </w:p>
        </w:tc>
        <w:tc>
          <w:tcPr>
            <w:tcW w:w="1221" w:type="dxa"/>
            <w:noWrap w:val="0"/>
            <w:vAlign w:val="center"/>
          </w:tcPr>
          <w:p>
            <w:pPr>
              <w:bidi w:val="0"/>
              <w:jc w:val="center"/>
              <w:rPr>
                <w:rFonts w:hint="eastAsia" w:ascii="Calibri" w:hAnsi="Calibri" w:eastAsia="宋体" w:cs="Times New Roman"/>
                <w:color w:val="auto"/>
                <w:kern w:val="2"/>
                <w:sz w:val="21"/>
                <w:szCs w:val="24"/>
                <w:lang w:val="en-US" w:eastAsia="zh-CN" w:bidi="ar-SA"/>
              </w:rPr>
            </w:pPr>
            <w:r>
              <w:rPr>
                <w:rFonts w:hint="eastAsia" w:ascii="仿宋_GB2312" w:hAnsi="仿宋_GB2312" w:eastAsia="仿宋_GB2312" w:cs="仿宋_GB2312"/>
                <w:b/>
                <w:bCs/>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0" w:type="dxa"/>
            <w:vMerge w:val="restart"/>
            <w:noWrap w:val="0"/>
            <w:vAlign w:val="center"/>
          </w:tcPr>
          <w:p>
            <w:pPr>
              <w:pStyle w:val="3"/>
              <w:keepNext w:val="0"/>
              <w:keepLines w:val="0"/>
              <w:widowControl/>
              <w:suppressLineNumbers w:val="0"/>
              <w:spacing w:before="0" w:beforeAutospacing="0" w:after="0" w:afterAutospacing="0" w:line="400" w:lineRule="exact"/>
              <w:ind w:left="0" w:right="0" w:firstLine="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城乡 规划（国土空间 规划）编制 甲级 资质 审查 标准 清单</w:t>
            </w:r>
          </w:p>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主体要求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具有法人资格</w:t>
            </w:r>
          </w:p>
        </w:tc>
        <w:tc>
          <w:tcPr>
            <w:tcW w:w="1221"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技术人员</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专业技术人员不少于40人。其中，具有城乡规划、土地规划管理相关专业高级技术职称的分别不少于1人，共不少于5人；具有道路交通、给水排水、建筑、电力电信、燃气热力、地理、风景园林、生态环境、经济、地理信息、海洋、测绘、林草、地质相关专业高级技术职称的总人数不少于5人，且不少于4个专业类别。具有城乡规划、土地规划管理相关专业中级技术职称的分别不少于2人，共不少于10人；具有其他专业中级技术职称的不少于15人，其中具有道路交通、给水排水、建筑、电力电信、燃气热力、地理、风景园林、生态环境、经济、地理信息、海洋、测绘、林草、地质相关专业中级技术职称的总人数不少于10人；聘用70周岁以下的退休高级职称技术人员或注册城乡规划师不超过2人。</w:t>
            </w:r>
          </w:p>
        </w:tc>
        <w:tc>
          <w:tcPr>
            <w:tcW w:w="1221" w:type="dxa"/>
            <w:vMerge w:val="restart"/>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vertAlign w:val="baseline"/>
                <w:lang w:val="en-US" w:eastAsia="zh-CN"/>
              </w:rPr>
              <w:t>《城乡规划编制单位资质管理办法》（自然资源部令第11号）第六条、第七条、第八条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特殊要求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注册城乡规划师不少于10人。</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场所要求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有400平方米以上的固定工作场所，以及完善的技术、质量、安全、保密、档案、财务管理制度。</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业绩要求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vertAlign w:val="baseline"/>
                <w:lang w:val="en-US" w:eastAsia="zh-CN" w:bidi="ar"/>
              </w:rPr>
              <w:t>在申请之日前5年内应当牵头或者独立承担并完成相关空间类规划项目不少于5项，且项目总经费不低于600万元。成立不满5年的，业绩要求按已满年度等比例计算。</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作业限制</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甲级城乡规划（国土空间规划）编制单位承担国土空间规划编制业务的范围不受限制。</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质量管理</w:t>
            </w:r>
          </w:p>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具备国土空间规划编制、论证、技术咨询等相应技术能力，拥有完善的规划编制质量控制体系。</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bl>
    <w:tbl>
      <w:tblPr>
        <w:tblStyle w:val="4"/>
        <w:tblpPr w:leftFromText="180" w:rightFromText="180" w:vertAnchor="page" w:horzAnchor="page" w:tblpX="1861" w:tblpY="1548"/>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38"/>
        <w:gridCol w:w="5137"/>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类别</w:t>
            </w:r>
          </w:p>
        </w:tc>
        <w:tc>
          <w:tcPr>
            <w:tcW w:w="1538"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审查内容</w:t>
            </w:r>
          </w:p>
        </w:tc>
        <w:tc>
          <w:tcPr>
            <w:tcW w:w="5137" w:type="dxa"/>
            <w:noWrap w:val="0"/>
            <w:vAlign w:val="center"/>
          </w:tcPr>
          <w:p>
            <w:pPr>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sz w:val="28"/>
                <w:szCs w:val="28"/>
                <w:vertAlign w:val="baseline"/>
                <w:lang w:val="en-US" w:eastAsia="zh-CN"/>
              </w:rPr>
              <w:t>审查标准</w:t>
            </w:r>
          </w:p>
        </w:tc>
        <w:tc>
          <w:tcPr>
            <w:tcW w:w="1127"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地质</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灾害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防治</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乙级</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资质</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137"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color w:val="auto"/>
                <w:kern w:val="0"/>
                <w:sz w:val="24"/>
                <w:szCs w:val="24"/>
                <w:lang w:val="zh-CN" w:eastAsia="zh-CN" w:bidi="ar"/>
              </w:rPr>
              <w:t>具有企业法人或者事业单位法人资格。</w:t>
            </w:r>
          </w:p>
        </w:tc>
        <w:tc>
          <w:tcPr>
            <w:tcW w:w="1127" w:type="dxa"/>
            <w:vMerge w:val="restart"/>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《地质灾害防治单位资质管理办法》（</w:t>
            </w:r>
            <w:r>
              <w:rPr>
                <w:rFonts w:hint="eastAsia" w:ascii="仿宋_GB2312" w:hAnsi="仿宋_GB2312" w:eastAsia="仿宋_GB2312" w:cs="仿宋_GB2312"/>
                <w:color w:val="auto"/>
                <w:sz w:val="24"/>
                <w:szCs w:val="32"/>
                <w:vertAlign w:val="baseline"/>
                <w:lang w:val="zh-CN" w:eastAsia="zh-CN"/>
              </w:rPr>
              <w:t>自然资源部令第8号</w:t>
            </w:r>
            <w:r>
              <w:rPr>
                <w:rFonts w:hint="eastAsia" w:ascii="仿宋_GB2312" w:hAnsi="仿宋_GB2312" w:eastAsia="仿宋_GB2312" w:cs="仿宋_GB2312"/>
                <w:color w:val="auto"/>
                <w:sz w:val="24"/>
                <w:szCs w:val="32"/>
                <w:vertAlign w:val="baseline"/>
                <w:lang w:val="en-US" w:eastAsia="zh-CN"/>
              </w:rPr>
              <w:t>）第四条、第五条、第七条、第八条。</w:t>
            </w:r>
          </w:p>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0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137" w:type="dxa"/>
            <w:noWrap w:val="0"/>
            <w:vAlign w:val="center"/>
          </w:tcPr>
          <w:p>
            <w:pPr>
              <w:pStyle w:val="6"/>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400" w:lineRule="exact"/>
              <w:ind w:left="0" w:leftChars="0" w:right="0" w:firstLine="0" w:firstLineChars="0"/>
              <w:jc w:val="both"/>
              <w:rPr>
                <w:rFonts w:hint="eastAsia"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val="zh-CN" w:eastAsia="zh-CN" w:bidi="ar"/>
              </w:rPr>
              <w:t>申请地质灾害评估和治理工程勘查设计资质、地质灾害治理工程监理资质的单位，资源与环境类、土木水利类相关专业技术人员总数不少于十人，其中高级技术职称人员不少于三人；</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rightChars="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val="zh-CN" w:eastAsia="zh-CN" w:bidi="ar"/>
              </w:rPr>
              <w:t>申请地质灾害治理工程施工资质单位，资源与环境类、土木水利类相关专业技术人员总数不少于二十人，其中高级技术职称人员不少于五人。</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8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地质</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灾害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防治</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甲级</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资质</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137"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具有法人资格。</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089" w:type="dxa"/>
            <w:vMerge w:val="continue"/>
            <w:noWrap w:val="0"/>
            <w:vAlign w:val="top"/>
          </w:tcPr>
          <w:p>
            <w:pPr>
              <w:jc w:val="both"/>
              <w:rPr>
                <w:rFonts w:hint="default" w:ascii="仿宋_GB2312" w:hAnsi="仿宋_GB2312" w:eastAsia="仿宋_GB2312" w:cs="仿宋_GB2312"/>
                <w:b w:val="0"/>
                <w:bCs w:val="0"/>
                <w:color w:val="auto"/>
                <w:sz w:val="24"/>
                <w:szCs w:val="24"/>
                <w:vertAlign w:val="baseline"/>
                <w:lang w:val="en-US" w:eastAsia="zh-CN"/>
              </w:rPr>
            </w:pP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137" w:type="dxa"/>
            <w:noWrap w:val="0"/>
            <w:vAlign w:val="top"/>
          </w:tcPr>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r>
              <w:rPr>
                <w:rFonts w:hint="default" w:ascii="仿宋_GB2312" w:hAnsi="仿宋_GB2312" w:eastAsia="仿宋_GB2312" w:cs="仿宋_GB2312"/>
                <w:color w:val="auto"/>
                <w:kern w:val="0"/>
                <w:sz w:val="24"/>
                <w:szCs w:val="24"/>
                <w:lang w:val="zh-CN" w:eastAsia="zh-CN" w:bidi="ar"/>
              </w:rPr>
              <w:t>申请地质灾害评估和治理工程勘查设计资质、地质灾害治理工程施工资质的单位，资源与环境类、土木水利类相关专业技术人员总数不少于五十人，其中高级、中级技术职称人员总数不少于二十五人，高级技术职称人员不少于十人；</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rightChars="0" w:firstLine="0" w:firstLineChars="0"/>
              <w:jc w:val="both"/>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0"/>
                <w:sz w:val="24"/>
                <w:szCs w:val="24"/>
                <w:lang w:val="en-US" w:eastAsia="zh-CN" w:bidi="ar"/>
              </w:rPr>
              <w:t>2.申请地质灾害治理工程监理资质的单位，资源与环境类、土木水利类相关专业技术人员总数不少于三十人，其中高级、中级技术职称人员总数不少于十五人，高级技术职称人员不少于五人。</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1089" w:type="dxa"/>
            <w:vMerge w:val="continue"/>
            <w:noWrap w:val="0"/>
            <w:vAlign w:val="top"/>
          </w:tcPr>
          <w:p>
            <w:pPr>
              <w:jc w:val="both"/>
              <w:rPr>
                <w:rFonts w:hint="default" w:ascii="仿宋_GB2312" w:hAnsi="仿宋_GB2312" w:eastAsia="仿宋_GB2312" w:cs="仿宋_GB2312"/>
                <w:b w:val="0"/>
                <w:bCs w:val="0"/>
                <w:color w:val="auto"/>
                <w:sz w:val="24"/>
                <w:szCs w:val="24"/>
                <w:vertAlign w:val="baseline"/>
                <w:lang w:val="en-US" w:eastAsia="zh-CN"/>
              </w:rPr>
            </w:pPr>
          </w:p>
        </w:tc>
        <w:tc>
          <w:tcPr>
            <w:tcW w:w="1538" w:type="dxa"/>
            <w:noWrap w:val="0"/>
            <w:vAlign w:val="center"/>
          </w:tcPr>
          <w:p>
            <w:pPr>
              <w:keepNext w:val="0"/>
              <w:keepLines w:val="0"/>
              <w:pageBreakBefore w:val="0"/>
              <w:tabs>
                <w:tab w:val="left" w:pos="387"/>
              </w:tabs>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业绩要求</w:t>
            </w:r>
          </w:p>
        </w:tc>
        <w:tc>
          <w:tcPr>
            <w:tcW w:w="5137" w:type="dxa"/>
            <w:noWrap w:val="0"/>
            <w:vAlign w:val="top"/>
          </w:tcPr>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default"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1.</w:t>
            </w:r>
            <w:r>
              <w:rPr>
                <w:rFonts w:hint="default" w:ascii="仿宋_GB2312" w:hAnsi="仿宋_GB2312" w:eastAsia="仿宋_GB2312" w:cs="仿宋_GB2312"/>
                <w:color w:val="auto"/>
                <w:kern w:val="0"/>
                <w:sz w:val="24"/>
                <w:szCs w:val="24"/>
                <w:lang w:val="zh-CN" w:eastAsia="zh-CN" w:bidi="ar"/>
              </w:rPr>
              <w:t>申请地质灾害评估和治理工程勘查设计资质的单位，在申请之日前五年内应当独立承担并完成地质灾害危险性评估项目、地质灾害治理工程勘查项目、地质灾害治理工程设计项目总数不少于五项，完成项目总经费不少于六十万元；</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default"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2.</w:t>
            </w:r>
            <w:r>
              <w:rPr>
                <w:rFonts w:hint="default" w:ascii="仿宋_GB2312" w:hAnsi="仿宋_GB2312" w:eastAsia="仿宋_GB2312" w:cs="仿宋_GB2312"/>
                <w:color w:val="auto"/>
                <w:kern w:val="0"/>
                <w:sz w:val="24"/>
                <w:szCs w:val="24"/>
                <w:lang w:val="zh-CN" w:eastAsia="zh-CN" w:bidi="ar"/>
              </w:rPr>
              <w:t>申请地质灾害治理工程施工资质的单位，在申请之日前五年内应当独立承担并完成地质灾害治理工程施工项目不少于五项，完成项目总经费不少于五千万元；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default" w:ascii="仿宋_GB2312" w:hAnsi="仿宋_GB2312" w:eastAsia="仿宋_GB2312" w:cs="仿宋_GB2312"/>
                <w:color w:val="auto"/>
                <w:kern w:val="0"/>
                <w:sz w:val="24"/>
                <w:szCs w:val="24"/>
                <w:lang w:val="zh-CN" w:eastAsia="zh-CN" w:bidi="ar"/>
              </w:rPr>
              <w:t>申请地质灾害治理工程监理资质的单位，在申请之日前五年内应当独立承担并完成地质灾害治理工程监理项目不少于五项，完成项目总经费不少于三十万元。</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bl>
    <w:p/>
    <w:sectPr>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ADAB5"/>
    <w:multiLevelType w:val="singleLevel"/>
    <w:tmpl w:val="DD7ADA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752A04"/>
    <w:rsid w:val="BEED4609"/>
    <w:rsid w:val="E3FFA986"/>
    <w:rsid w:val="EEEF1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200" w:firstLineChars="200"/>
      <w:jc w:val="both"/>
    </w:pPr>
    <w:rPr>
      <w:rFonts w:ascii="Calibri" w:hAnsi="Calibri"/>
      <w:color w:val="000000"/>
      <w:sz w:val="21"/>
      <w:szCs w:val="24"/>
      <w:lang w:val="en-US" w:eastAsia="zh-CN"/>
    </w:rPr>
  </w:style>
  <w:style w:type="paragraph" w:styleId="3">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kern w:val="0"/>
      <w:sz w:val="24"/>
      <w:lang w:val="en-US" w:eastAsia="zh-CN" w:bidi="ar"/>
    </w:rPr>
  </w:style>
  <w:style w:type="paragraph" w:customStyle="1" w:styleId="6">
    <w:name w:val="faguicon"/>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390" w:lineRule="atLeast"/>
      <w:ind w:firstLine="420"/>
      <w:jc w:val="both"/>
    </w:pPr>
    <w:rPr>
      <w:lang w:val="en-US" w:eastAsia="zh-CN"/>
    </w:rPr>
  </w:style>
  <w:style w:type="paragraph" w:customStyle="1" w:styleId="7">
    <w:name w:val="p"/>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390" w:lineRule="atLeast"/>
      <w:ind w:firstLine="420"/>
      <w:jc w:val="both"/>
      <w:textAlignment w:val="center"/>
    </w:pPr>
    <w:rPr>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dcterms:modified xsi:type="dcterms:W3CDTF">2026-04-02T12:15:08Z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